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6F1949A" w14:textId="77777777" w:rsidR="00E6697A" w:rsidRDefault="00E6697A" w:rsidP="00E6697A">
      <w:pPr>
        <w:pStyle w:val="Heading2"/>
        <w:spacing w:before="600"/>
        <w:rPr>
          <w:rStyle w:val="Heading2Parttext"/>
          <w:rFonts w:asciiTheme="majorHAnsi" w:hAnsiTheme="majorHAnsi" w:cstheme="majorHAnsi"/>
          <w:b/>
          <w:color w:val="808080" w:themeColor="background1" w:themeShade="80"/>
        </w:rPr>
      </w:pPr>
      <w:r>
        <w:rPr>
          <w:rFonts w:ascii="Arial Black" w:hAnsi="Arial Black"/>
          <w:noProof/>
          <w:sz w:val="44"/>
          <w:szCs w:val="44"/>
        </w:rPr>
        <mc:AlternateContent>
          <mc:Choice Requires="wps">
            <w:drawing>
              <wp:anchor distT="0" distB="0" distL="114300" distR="114300" simplePos="0" relativeHeight="251969024" behindDoc="0" locked="0" layoutInCell="1" allowOverlap="1" wp14:anchorId="6CDEBA2D" wp14:editId="7039C586">
                <wp:simplePos x="0" y="0"/>
                <wp:positionH relativeFrom="column">
                  <wp:posOffset>19050</wp:posOffset>
                </wp:positionH>
                <wp:positionV relativeFrom="page">
                  <wp:posOffset>0</wp:posOffset>
                </wp:positionV>
                <wp:extent cx="182880" cy="895350"/>
                <wp:effectExtent l="0" t="0" r="7620" b="0"/>
                <wp:wrapNone/>
                <wp:docPr id="14" name="Rectangle 14"/>
                <wp:cNvGraphicFramePr/>
                <a:graphic xmlns:a="http://schemas.openxmlformats.org/drawingml/2006/main">
                  <a:graphicData uri="http://schemas.microsoft.com/office/word/2010/wordprocessingShape">
                    <wps:wsp>
                      <wps:cNvSpPr/>
                      <wps:spPr>
                        <a:xfrm>
                          <a:off x="0" y="0"/>
                          <a:ext cx="182880" cy="8953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0808" id="Rectangle 14" o:spid="_x0000_s1026" style="position:absolute;margin-left:1.5pt;margin-top:0;width:14.4pt;height:70.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" fillcolor="#128dc4 [3209]" stroked="f" strokeweight="2pt">
                <w10:wrap anchory="page"/>
              </v:rect>
            </w:pict>
          </mc:Fallback>
        </mc:AlternateContent>
      </w:r>
      <w:r>
        <w:rPr>
          <w:rStyle w:val="Heading2Parttext"/>
          <w:rFonts w:asciiTheme="majorHAnsi" w:hAnsiTheme="majorHAnsi" w:cstheme="majorHAnsi"/>
          <w:b/>
          <w:color w:val="808080" w:themeColor="background1" w:themeShade="80"/>
        </w:rPr>
        <w:t xml:space="preserve">State Planning Tool for Standards-Based Accountability </w:t>
      </w:r>
      <w:proofErr w:type="gramStart"/>
      <w:r>
        <w:rPr>
          <w:rStyle w:val="Heading2Parttext"/>
          <w:rFonts w:asciiTheme="majorHAnsi" w:hAnsiTheme="majorHAnsi" w:cstheme="majorHAnsi"/>
          <w:b/>
          <w:color w:val="808080" w:themeColor="background1" w:themeShade="80"/>
        </w:rPr>
        <w:t>Under</w:t>
      </w:r>
      <w:proofErr w:type="gramEnd"/>
      <w:r>
        <w:rPr>
          <w:rStyle w:val="Heading2Parttext"/>
          <w:rFonts w:asciiTheme="majorHAnsi" w:hAnsiTheme="majorHAnsi" w:cstheme="majorHAnsi"/>
          <w:b/>
          <w:color w:val="808080" w:themeColor="background1" w:themeShade="80"/>
        </w:rPr>
        <w:t xml:space="preserve"> ESSA</w:t>
      </w:r>
    </w:p>
    <w:p w14:paraId="61AB1FB7" w14:textId="6FECEFE3" w:rsidR="00F25E58" w:rsidRDefault="0098493D">
      <w:pPr>
        <w:pStyle w:val="Heading2"/>
        <w:rPr>
          <w:b/>
        </w:rPr>
      </w:pPr>
      <w:r>
        <w:rPr>
          <w:rStyle w:val="Heading2Parttext"/>
        </w:rPr>
        <w:t>PART B:</w:t>
      </w:r>
      <w:r>
        <w:t xml:space="preserve"> Accountability Requirements Close-Up</w:t>
      </w:r>
    </w:p>
    <w:p w14:paraId="7CECA005" w14:textId="6070A942" w:rsidR="00F25E58" w:rsidRDefault="0098493D">
      <w:pPr>
        <w:pStyle w:val="BodyText"/>
        <w:rPr>
          <w:rFonts w:eastAsia="Calibri"/>
        </w:rPr>
      </w:pPr>
      <w:r>
        <w:rPr>
          <w:b/>
          <w:noProof/>
        </w:rPr>
        <mc:AlternateContent>
          <mc:Choice Requires="wps">
            <w:drawing>
              <wp:anchor distT="0" distB="0" distL="114300" distR="114300" simplePos="0" relativeHeight="251593216" behindDoc="0" locked="0" layoutInCell="1" allowOverlap="1" wp14:anchorId="0B653D26" wp14:editId="4D8E07E4">
                <wp:simplePos x="0" y="0"/>
                <wp:positionH relativeFrom="column">
                  <wp:posOffset>-612140</wp:posOffset>
                </wp:positionH>
                <wp:positionV relativeFrom="paragraph">
                  <wp:posOffset>1291590</wp:posOffset>
                </wp:positionV>
                <wp:extent cx="895350" cy="982980"/>
                <wp:effectExtent l="76200" t="57150" r="361950" b="102870"/>
                <wp:wrapNone/>
                <wp:docPr id="330" name="Rounded Rectangular Callout 330"/>
                <wp:cNvGraphicFramePr/>
                <a:graphic xmlns:a="http://schemas.openxmlformats.org/drawingml/2006/main">
                  <a:graphicData uri="http://schemas.microsoft.com/office/word/2010/wordprocessingShape">
                    <wps:wsp>
                      <wps:cNvSpPr/>
                      <wps:spPr>
                        <a:xfrm>
                          <a:off x="0" y="0"/>
                          <a:ext cx="895350" cy="982980"/>
                        </a:xfrm>
                        <a:prstGeom prst="wedgeRoundRectCallout">
                          <a:avLst>
                            <a:gd name="adj1" fmla="val 85598"/>
                            <a:gd name="adj2" fmla="val -36114"/>
                            <a:gd name="adj3" fmla="val 16667"/>
                          </a:avLst>
                        </a:prstGeom>
                        <a:solidFill>
                          <a:srgbClr val="346094"/>
                        </a:solidFill>
                        <a:ln w="28575" cap="flat" cmpd="sng" algn="ctr">
                          <a:solidFill>
                            <a:srgbClr val="FFFFFF"/>
                          </a:solidFill>
                          <a:prstDash val="solid"/>
                        </a:ln>
                        <a:effectLst>
                          <a:outerShdw blurRad="40000" dist="20000" dir="5400000" rotWithShape="0">
                            <a:srgbClr val="000000">
                              <a:alpha val="38000"/>
                            </a:srgbClr>
                          </a:outerShdw>
                        </a:effectLst>
                      </wps:spPr>
                      <wps:txbx>
                        <w:txbxContent>
                          <w:p w14:paraId="559AD444" w14:textId="77777777" w:rsidR="003F36CE" w:rsidRDefault="003F36CE">
                            <w:pPr>
                              <w:pStyle w:val="CommentBoxText"/>
                              <w:rPr>
                                <w:spacing w:val="-2"/>
                              </w:rPr>
                            </w:pPr>
                            <w:r>
                              <w:rPr>
                                <w:spacing w:val="-2"/>
                              </w:rPr>
                              <w:t xml:space="preserve">All numbering corresponds to the same requirements in </w:t>
                            </w:r>
                          </w:p>
                          <w:p w14:paraId="2FCE0F84" w14:textId="77777777" w:rsidR="003F36CE" w:rsidRDefault="003F36CE">
                            <w:pPr>
                              <w:pStyle w:val="CommentBoxText"/>
                              <w:rPr>
                                <w:spacing w:val="-2"/>
                              </w:rPr>
                            </w:pPr>
                            <w:r>
                              <w:rPr>
                                <w:spacing w:val="-2"/>
                              </w:rPr>
                              <w:t>Part A.</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3D26" id="Rounded Rectangular Callout 330" o:spid="_x0000_s1042" type="#_x0000_t62" style="position:absolute;margin-left:-48.2pt;margin-top:101.7pt;width:70.5pt;height:77.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" adj="29289,2999" fillcolor="#346094" strokecolor="white" strokeweight="2.25pt">
                <v:shadow on="t" color="black" opacity="24903f" origin=",.5" offset="0,.55556mm"/>
                <v:textbox inset="3.6pt,,3.6pt">
                  <w:txbxContent>
                    <w:p w14:paraId="559AD444" w14:textId="77777777" w:rsidR="003F36CE" w:rsidRDefault="003F36CE">
                      <w:pPr>
                        <w:pStyle w:val="CommentBoxText"/>
                        <w:rPr>
                          <w:spacing w:val="-2"/>
                        </w:rPr>
                      </w:pPr>
                      <w:r>
                        <w:rPr>
                          <w:spacing w:val="-2"/>
                        </w:rPr>
                        <w:t xml:space="preserve">All numbering corresponds to the same requirements in </w:t>
                      </w:r>
                    </w:p>
                    <w:p w14:paraId="2FCE0F84" w14:textId="77777777" w:rsidR="003F36CE" w:rsidRDefault="003F36CE">
                      <w:pPr>
                        <w:pStyle w:val="CommentBoxText"/>
                        <w:rPr>
                          <w:spacing w:val="-2"/>
                        </w:rPr>
                      </w:pPr>
                      <w:r>
                        <w:rPr>
                          <w:spacing w:val="-2"/>
                        </w:rPr>
                        <w:t>Part A.</w:t>
                      </w:r>
                    </w:p>
                  </w:txbxContent>
                </v:textbox>
              </v:shape>
            </w:pict>
          </mc:Fallback>
        </mc:AlternateContent>
      </w:r>
      <w:r>
        <w:t xml:space="preserve">Use Part B of the ESSA Accountability Planning Tool to develop a deeper knowledge of the accountability-related </w:t>
      </w:r>
      <w:r w:rsidR="00DC1515">
        <w:t xml:space="preserve">statutory provisions </w:t>
      </w:r>
      <w:r>
        <w:t>summarized in Part A, understand the shifts from NCLB, and access additional resources to support state efforts to close policy and implementation gaps and integrate college and career readiness efforts.</w:t>
      </w:r>
      <w:r>
        <w:rPr>
          <w:rFonts w:eastAsia="Calibri"/>
        </w:rPr>
        <w:t xml:space="preserve"> </w:t>
      </w:r>
    </w:p>
    <w:tbl>
      <w:tblPr>
        <w:tblStyle w:val="TableGrid"/>
        <w:tblW w:w="838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
        <w:gridCol w:w="12"/>
        <w:gridCol w:w="8019"/>
      </w:tblGrid>
      <w:tr w:rsidR="00F25E58" w14:paraId="20733D34" w14:textId="77777777">
        <w:trPr>
          <w:trHeight w:val="425"/>
          <w:jc w:val="right"/>
        </w:trPr>
        <w:tc>
          <w:tcPr>
            <w:tcW w:w="8382" w:type="dxa"/>
            <w:gridSpan w:val="3"/>
            <w:shd w:val="clear" w:color="auto" w:fill="346094" w:themeFill="accent1"/>
          </w:tcPr>
          <w:p w14:paraId="1CC3D947" w14:textId="77777777" w:rsidR="00F25E58" w:rsidRDefault="0098493D">
            <w:pPr>
              <w:pStyle w:val="TableHead"/>
            </w:pPr>
            <w:r>
              <w:rPr>
                <w:bCs w:val="0"/>
              </w:rPr>
              <w:t>I.</w:t>
            </w:r>
            <w:r>
              <w:t xml:space="preserve"> ACADEMIC STANDARDS</w:t>
            </w:r>
          </w:p>
        </w:tc>
      </w:tr>
      <w:tr w:rsidR="00F25E58" w14:paraId="1540CEDA" w14:textId="77777777">
        <w:trPr>
          <w:trHeight w:val="354"/>
          <w:jc w:val="right"/>
        </w:trPr>
        <w:tc>
          <w:tcPr>
            <w:tcW w:w="351" w:type="dxa"/>
            <w:shd w:val="clear" w:color="auto" w:fill="346094"/>
          </w:tcPr>
          <w:p w14:paraId="7FFFC782" w14:textId="77777777" w:rsidR="00F25E58" w:rsidRDefault="0098493D">
            <w:pPr>
              <w:pStyle w:val="IconSpace"/>
            </w:pPr>
            <w:r>
              <w:rPr>
                <w:noProof/>
              </w:rPr>
              <w:drawing>
                <wp:inline distT="0" distB="0" distL="0" distR="0" wp14:anchorId="614F9A8C" wp14:editId="45E8DFB9">
                  <wp:extent cx="225425" cy="225425"/>
                  <wp:effectExtent l="0" t="0" r="3175" b="317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031" w:type="dxa"/>
            <w:gridSpan w:val="2"/>
            <w:shd w:val="clear" w:color="auto" w:fill="7F7F7F" w:themeFill="text1" w:themeFillTint="80"/>
          </w:tcPr>
          <w:p w14:paraId="1295BB58" w14:textId="77777777" w:rsidR="00F25E58" w:rsidRDefault="0098493D">
            <w:pPr>
              <w:pStyle w:val="TableSubheading"/>
            </w:pPr>
            <w:r>
              <w:t>I. A. Aligned Content Standards</w:t>
            </w:r>
          </w:p>
        </w:tc>
      </w:tr>
      <w:tr w:rsidR="00F25E58" w14:paraId="7B833ECB" w14:textId="77777777">
        <w:trPr>
          <w:trHeight w:val="2234"/>
          <w:jc w:val="right"/>
        </w:trPr>
        <w:tc>
          <w:tcPr>
            <w:tcW w:w="8382" w:type="dxa"/>
            <w:gridSpan w:val="3"/>
          </w:tcPr>
          <w:p w14:paraId="724C374A" w14:textId="77777777" w:rsidR="00F25E58" w:rsidRDefault="0098493D">
            <w:pPr>
              <w:pStyle w:val="TableText"/>
            </w:pPr>
            <w:r>
              <w:t xml:space="preserve">Each state must ensure that it has adopted challenging academic </w:t>
            </w:r>
            <w:r w:rsidRPr="00144F0B">
              <w:t>content standards (in</w:t>
            </w:r>
            <w:r>
              <w:t xml:space="preserve"> at least mathematics, reading/ELA, and science) that apply to all public schools and students, that include at least three levels of achievement, and that are aligned with:</w:t>
            </w:r>
          </w:p>
          <w:p w14:paraId="70F217A1" w14:textId="77777777" w:rsidR="00F25E58" w:rsidRDefault="0098493D">
            <w:pPr>
              <w:pStyle w:val="TableBullet1"/>
            </w:pPr>
            <w:r>
              <w:t>Entrance requirements for credit-bearing coursework in the state system of public education, and</w:t>
            </w:r>
          </w:p>
          <w:p w14:paraId="12815E2C" w14:textId="77777777" w:rsidR="00F25E58" w:rsidRDefault="0098493D">
            <w:pPr>
              <w:pStyle w:val="TableBullet1"/>
            </w:pPr>
            <w:r>
              <w:t>Relevant state CTE standards.</w:t>
            </w:r>
          </w:p>
          <w:p w14:paraId="08067A01" w14:textId="77777777" w:rsidR="00F25E58" w:rsidRDefault="0098493D">
            <w:pPr>
              <w:pStyle w:val="TableText6above"/>
              <w:spacing w:after="120"/>
            </w:pPr>
            <w:r>
              <w:t>Sec. 1111(b)(1)(A)-(D)</w:t>
            </w:r>
          </w:p>
        </w:tc>
      </w:tr>
      <w:tr w:rsidR="00F25E58" w14:paraId="32A0320C" w14:textId="77777777">
        <w:trPr>
          <w:trHeight w:val="354"/>
          <w:jc w:val="right"/>
        </w:trPr>
        <w:tc>
          <w:tcPr>
            <w:tcW w:w="363" w:type="dxa"/>
            <w:gridSpan w:val="2"/>
            <w:shd w:val="clear" w:color="auto" w:fill="346094"/>
            <w:vAlign w:val="center"/>
          </w:tcPr>
          <w:p w14:paraId="750CE80E" w14:textId="77777777" w:rsidR="00F25E58" w:rsidRDefault="0098493D">
            <w:pPr>
              <w:pStyle w:val="IconSpace"/>
            </w:pPr>
            <w:r>
              <w:rPr>
                <w:noProof/>
              </w:rPr>
              <w:drawing>
                <wp:inline distT="0" distB="0" distL="0" distR="0" wp14:anchorId="11DBA782" wp14:editId="32B5DDE6">
                  <wp:extent cx="231775" cy="23177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019" w:type="dxa"/>
            <w:shd w:val="clear" w:color="auto" w:fill="D1DEEF" w:themeFill="accent1" w:themeFillTint="33"/>
            <w:vAlign w:val="center"/>
          </w:tcPr>
          <w:p w14:paraId="0B2F5A19" w14:textId="77777777" w:rsidR="00F25E58" w:rsidRDefault="0098493D">
            <w:pPr>
              <w:pStyle w:val="TableText"/>
              <w:rPr>
                <w:b/>
              </w:rPr>
            </w:pPr>
            <w:r>
              <w:rPr>
                <w:b/>
              </w:rPr>
              <w:t>Shifts From NCLB</w:t>
            </w:r>
          </w:p>
        </w:tc>
      </w:tr>
      <w:tr w:rsidR="00F25E58" w14:paraId="6BC24878" w14:textId="77777777">
        <w:trPr>
          <w:trHeight w:val="328"/>
          <w:jc w:val="right"/>
        </w:trPr>
        <w:tc>
          <w:tcPr>
            <w:tcW w:w="8382" w:type="dxa"/>
            <w:gridSpan w:val="3"/>
            <w:shd w:val="clear" w:color="auto" w:fill="F2F2F2" w:themeFill="background1" w:themeFillShade="F2"/>
          </w:tcPr>
          <w:p w14:paraId="46ACBC58" w14:textId="77777777" w:rsidR="00F25E58" w:rsidRDefault="0098493D">
            <w:pPr>
              <w:pStyle w:val="TableText"/>
            </w:pPr>
            <w:r>
              <w:t>Under NCLB, challenging academic standards were required; however, under ESSA, they must be aligned with college entrance requirements for remediation-free, credit-bearing coursework and any relevant CTE standards.</w:t>
            </w:r>
          </w:p>
        </w:tc>
      </w:tr>
      <w:tr w:rsidR="00F25E58" w14:paraId="4E3F1EDD" w14:textId="77777777">
        <w:trPr>
          <w:trHeight w:val="150"/>
          <w:jc w:val="right"/>
        </w:trPr>
        <w:tc>
          <w:tcPr>
            <w:tcW w:w="8382" w:type="dxa"/>
            <w:gridSpan w:val="3"/>
          </w:tcPr>
          <w:p w14:paraId="17630EE5" w14:textId="77777777" w:rsidR="00F25E58" w:rsidRDefault="00F25E58">
            <w:pPr>
              <w:pStyle w:val="TableText"/>
              <w:spacing w:line="240" w:lineRule="auto"/>
              <w:ind w:firstLine="720"/>
              <w:rPr>
                <w:sz w:val="18"/>
              </w:rPr>
            </w:pPr>
          </w:p>
        </w:tc>
      </w:tr>
      <w:tr w:rsidR="00F25E58" w14:paraId="61E0E44B" w14:textId="77777777">
        <w:trPr>
          <w:trHeight w:val="354"/>
          <w:jc w:val="right"/>
        </w:trPr>
        <w:tc>
          <w:tcPr>
            <w:tcW w:w="363" w:type="dxa"/>
            <w:gridSpan w:val="2"/>
            <w:shd w:val="clear" w:color="auto" w:fill="346094"/>
            <w:vAlign w:val="center"/>
          </w:tcPr>
          <w:p w14:paraId="668FDC8C" w14:textId="77777777" w:rsidR="00F25E58" w:rsidRDefault="0098493D">
            <w:pPr>
              <w:pStyle w:val="IconSpace"/>
            </w:pPr>
            <w:r>
              <w:rPr>
                <w:noProof/>
              </w:rPr>
              <w:drawing>
                <wp:inline distT="0" distB="0" distL="0" distR="0" wp14:anchorId="060E98D3" wp14:editId="79098913">
                  <wp:extent cx="231775" cy="23177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019" w:type="dxa"/>
            <w:shd w:val="clear" w:color="auto" w:fill="D1DEEF" w:themeFill="accent1" w:themeFillTint="33"/>
            <w:vAlign w:val="center"/>
          </w:tcPr>
          <w:p w14:paraId="380CE603" w14:textId="77777777" w:rsidR="00F25E58" w:rsidRDefault="0098493D">
            <w:pPr>
              <w:pStyle w:val="TableText"/>
              <w:rPr>
                <w:b/>
              </w:rPr>
            </w:pPr>
            <w:r>
              <w:rPr>
                <w:b/>
                <w:spacing w:val="-4"/>
              </w:rPr>
              <w:t>Additional Resources</w:t>
            </w:r>
            <w:r>
              <w:rPr>
                <w:rStyle w:val="FootnoteReference"/>
                <w:b/>
                <w:spacing w:val="-4"/>
              </w:rPr>
              <w:footnoteReference w:id="2"/>
            </w:r>
          </w:p>
        </w:tc>
      </w:tr>
      <w:tr w:rsidR="00F25E58" w14:paraId="6B719CCB" w14:textId="77777777">
        <w:trPr>
          <w:trHeight w:val="2065"/>
          <w:jc w:val="right"/>
        </w:trPr>
        <w:tc>
          <w:tcPr>
            <w:tcW w:w="8382" w:type="dxa"/>
            <w:gridSpan w:val="3"/>
            <w:shd w:val="clear" w:color="auto" w:fill="F2F2F2" w:themeFill="background1" w:themeFillShade="F2"/>
          </w:tcPr>
          <w:p w14:paraId="0BA2FDF8" w14:textId="77777777" w:rsidR="00F25E58" w:rsidRDefault="001426BD">
            <w:pPr>
              <w:pStyle w:val="TableBullet1"/>
              <w:rPr>
                <w:rStyle w:val="Hyperlink"/>
              </w:rPr>
            </w:pPr>
            <w:hyperlink r:id="rId11" w:history="1">
              <w:r w:rsidR="0098493D">
                <w:rPr>
                  <w:rStyle w:val="Hyperlink"/>
                </w:rPr>
                <w:t>Bridging the Divide Between College and Career Readiness</w:t>
              </w:r>
            </w:hyperlink>
            <w:r w:rsidR="0098493D">
              <w:rPr>
                <w:rStyle w:val="Hyperlink"/>
                <w:color w:val="auto"/>
                <w:u w:val="none"/>
              </w:rPr>
              <w:t xml:space="preserve"> (Achieve, 2012)</w:t>
            </w:r>
          </w:p>
          <w:p w14:paraId="06F5DC14" w14:textId="77777777" w:rsidR="00F25E58" w:rsidRDefault="0098493D">
            <w:pPr>
              <w:pStyle w:val="TableBullet1"/>
              <w:rPr>
                <w:rStyle w:val="Hyperlink"/>
              </w:rPr>
            </w:pPr>
            <w:r>
              <w:fldChar w:fldCharType="begin"/>
            </w:r>
            <w:r>
              <w:instrText>HYPERLINK "http://www.ccrscenter.org/implementation-tools/integrating-employability-skills"</w:instrText>
            </w:r>
            <w:r>
              <w:fldChar w:fldCharType="separate"/>
            </w:r>
            <w:r>
              <w:rPr>
                <w:rStyle w:val="Hyperlink"/>
              </w:rPr>
              <w:t>Integrating Employability Skills: A Framework for All Educators</w:t>
            </w:r>
            <w:r>
              <w:t xml:space="preserve"> (College and Career Readiness and Success [CCRS] Center/Center for Great Teachers and Leaders, 2016)</w:t>
            </w:r>
          </w:p>
          <w:p w14:paraId="21089B99" w14:textId="77777777" w:rsidR="00F25E58" w:rsidRDefault="0098493D">
            <w:pPr>
              <w:pStyle w:val="TableBullet1"/>
              <w:rPr>
                <w:rStyle w:val="Hyperlink"/>
              </w:rPr>
            </w:pPr>
            <w:r>
              <w:fldChar w:fldCharType="end"/>
            </w:r>
            <w:hyperlink r:id="rId12" w:history="1">
              <w:r>
                <w:rPr>
                  <w:rStyle w:val="Hyperlink"/>
                </w:rPr>
                <w:t xml:space="preserve">College and Career Readiness Standards and Research-Identified Transition Skills </w:t>
              </w:r>
              <w:r>
                <w:t>(Council of Chief State School Officers [CCSSO], 2016)</w:t>
              </w:r>
            </w:hyperlink>
          </w:p>
          <w:p w14:paraId="6245F620" w14:textId="77777777" w:rsidR="00F25E58" w:rsidRDefault="001426BD">
            <w:pPr>
              <w:pStyle w:val="TableBullet1"/>
              <w:rPr>
                <w:rStyle w:val="Hyperlink"/>
              </w:rPr>
            </w:pPr>
            <w:hyperlink r:id="rId13" w:history="1">
              <w:r w:rsidR="0098493D">
                <w:rPr>
                  <w:rStyle w:val="Hyperlink"/>
                </w:rPr>
                <w:t>Achieving the Promise of the Common Core Standards</w:t>
              </w:r>
              <w:r w:rsidR="0098493D">
                <w:t xml:space="preserve"> (Achieve, 2010)</w:t>
              </w:r>
            </w:hyperlink>
          </w:p>
          <w:p w14:paraId="310016A6" w14:textId="77777777" w:rsidR="00F25E58" w:rsidRDefault="001426BD">
            <w:pPr>
              <w:pStyle w:val="TableBullet1"/>
              <w:rPr>
                <w:rStyle w:val="Hyperlink"/>
              </w:rPr>
            </w:pPr>
            <w:hyperlink r:id="rId14" w:history="1">
              <w:r w:rsidR="0098493D">
                <w:rPr>
                  <w:rStyle w:val="Hyperlink"/>
                </w:rPr>
                <w:t>Adoption and Implementation of Next Generation Science Standards</w:t>
              </w:r>
            </w:hyperlink>
            <w:r w:rsidR="0098493D">
              <w:rPr>
                <w:rStyle w:val="Hyperlink"/>
                <w:color w:val="auto"/>
                <w:u w:val="none"/>
              </w:rPr>
              <w:t xml:space="preserve"> (Achieve, 2013)</w:t>
            </w:r>
          </w:p>
        </w:tc>
      </w:tr>
    </w:tbl>
    <w:p w14:paraId="00990452" w14:textId="77777777" w:rsidR="00F25E58" w:rsidRDefault="00F25E58">
      <w:pPr>
        <w:pStyle w:val="TableText"/>
        <w:tabs>
          <w:tab w:val="left" w:pos="1227"/>
          <w:tab w:val="left" w:pos="2129"/>
        </w:tabs>
        <w:spacing w:line="240" w:lineRule="auto"/>
      </w:pPr>
    </w:p>
    <w:p w14:paraId="094778E9" w14:textId="77777777" w:rsidR="00F25E58" w:rsidRDefault="00F25E58">
      <w:pPr>
        <w:pStyle w:val="TableText"/>
        <w:tabs>
          <w:tab w:val="left" w:pos="1227"/>
          <w:tab w:val="left" w:pos="2129"/>
        </w:tabs>
        <w:spacing w:line="240" w:lineRule="auto"/>
      </w:pPr>
    </w:p>
    <w:p w14:paraId="15F64230" w14:textId="77777777" w:rsidR="00F25E58" w:rsidRDefault="00F25E58">
      <w:pPr>
        <w:pStyle w:val="TableText"/>
        <w:tabs>
          <w:tab w:val="left" w:pos="1227"/>
          <w:tab w:val="left" w:pos="2129"/>
        </w:tabs>
        <w:spacing w:line="240" w:lineRule="auto"/>
        <w:rPr>
          <w:sz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60087111" w14:textId="77777777">
        <w:trPr>
          <w:jc w:val="center"/>
        </w:trPr>
        <w:tc>
          <w:tcPr>
            <w:tcW w:w="373" w:type="dxa"/>
            <w:shd w:val="clear" w:color="auto" w:fill="346094"/>
          </w:tcPr>
          <w:p w14:paraId="2355EB9E" w14:textId="77777777" w:rsidR="00F25E58" w:rsidRDefault="0098493D">
            <w:pPr>
              <w:pStyle w:val="IconSpace"/>
              <w:keepNext/>
            </w:pPr>
            <w:r>
              <w:rPr>
                <w:noProof/>
              </w:rPr>
              <w:lastRenderedPageBreak/>
              <w:drawing>
                <wp:inline distT="0" distB="0" distL="0" distR="0" wp14:anchorId="7DDCA778" wp14:editId="15119351">
                  <wp:extent cx="225425" cy="225425"/>
                  <wp:effectExtent l="0" t="0" r="3175" b="317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7" w:type="dxa"/>
            <w:shd w:val="clear" w:color="auto" w:fill="7F7F7F" w:themeFill="text1" w:themeFillTint="80"/>
          </w:tcPr>
          <w:p w14:paraId="323CC2C3" w14:textId="77777777" w:rsidR="00F25E58" w:rsidRDefault="0098493D">
            <w:pPr>
              <w:pStyle w:val="TableSubheading"/>
              <w:keepNext/>
            </w:pPr>
            <w:r>
              <w:t>I. B. English Language Proficiency Standards</w:t>
            </w:r>
          </w:p>
        </w:tc>
      </w:tr>
      <w:tr w:rsidR="00F25E58" w14:paraId="24F4A51B" w14:textId="77777777">
        <w:trPr>
          <w:trHeight w:val="1809"/>
          <w:jc w:val="center"/>
        </w:trPr>
        <w:tc>
          <w:tcPr>
            <w:tcW w:w="9360" w:type="dxa"/>
            <w:gridSpan w:val="2"/>
          </w:tcPr>
          <w:p w14:paraId="3EE6808A" w14:textId="77777777" w:rsidR="00F25E58" w:rsidRDefault="0098493D">
            <w:pPr>
              <w:spacing w:before="40" w:after="40" w:line="280" w:lineRule="exact"/>
              <w:rPr>
                <w:rFonts w:ascii="Arial" w:eastAsia="Calibri" w:hAnsi="Arial" w:cs="Times New Roman"/>
                <w:color w:val="262626"/>
                <w:sz w:val="20"/>
                <w:szCs w:val="20"/>
              </w:rPr>
            </w:pPr>
            <w:r>
              <w:rPr>
                <w:rFonts w:ascii="Arial" w:eastAsia="Calibri" w:hAnsi="Arial" w:cs="Times New Roman"/>
                <w:color w:val="262626"/>
                <w:sz w:val="20"/>
                <w:szCs w:val="20"/>
              </w:rPr>
              <w:t xml:space="preserve">Each state must demonstrate that it has adopted ELP </w:t>
            </w:r>
            <w:r w:rsidRPr="00144F0B">
              <w:rPr>
                <w:rFonts w:ascii="Arial" w:eastAsia="Calibri" w:hAnsi="Arial" w:cs="Times New Roman"/>
                <w:color w:val="262626"/>
                <w:sz w:val="20"/>
                <w:szCs w:val="20"/>
              </w:rPr>
              <w:t>standards that:</w:t>
            </w:r>
          </w:p>
          <w:p w14:paraId="2BDE0ABF" w14:textId="77777777" w:rsidR="00F25E58" w:rsidRDefault="0098493D">
            <w:pPr>
              <w:pStyle w:val="TableBulletTight"/>
            </w:pPr>
            <w:r>
              <w:t xml:space="preserve">Are derived from the four recognized domains of speaking, listening, reading, and writing; </w:t>
            </w:r>
          </w:p>
          <w:p w14:paraId="004F0859" w14:textId="77777777" w:rsidR="00F25E58" w:rsidRDefault="0098493D">
            <w:pPr>
              <w:pStyle w:val="TableBulletTight"/>
            </w:pPr>
            <w:r>
              <w:t>Address the different proficiency levels of ELs (e.g., set clear performance standards and levels); and</w:t>
            </w:r>
          </w:p>
          <w:p w14:paraId="17E21C51" w14:textId="77B84296" w:rsidR="00F5503E" w:rsidRPr="00E61A75" w:rsidRDefault="0098493D" w:rsidP="00E61A75">
            <w:pPr>
              <w:pStyle w:val="TableBulletTight"/>
              <w:rPr>
                <w:rFonts w:eastAsia="Calibri" w:cs="Times New Roman"/>
                <w:szCs w:val="20"/>
              </w:rPr>
            </w:pPr>
            <w:r>
              <w:t>Are aligned with the challenging state academic standards.</w:t>
            </w:r>
          </w:p>
          <w:p w14:paraId="600082F7" w14:textId="77777777" w:rsidR="00F25E58" w:rsidRDefault="0098493D" w:rsidP="00E61A75">
            <w:pPr>
              <w:pStyle w:val="TableBulletTight"/>
              <w:numPr>
                <w:ilvl w:val="0"/>
                <w:numId w:val="0"/>
              </w:numPr>
              <w:spacing w:before="120"/>
            </w:pPr>
            <w:r>
              <w:t xml:space="preserve">States are not required to submit standards to the Secretary. </w:t>
            </w:r>
          </w:p>
          <w:p w14:paraId="0EAD2F1A" w14:textId="77777777" w:rsidR="00F25E58" w:rsidRDefault="0098493D" w:rsidP="0011473C">
            <w:pPr>
              <w:pStyle w:val="TableText6above"/>
              <w:spacing w:before="80" w:after="120"/>
            </w:pPr>
            <w:r>
              <w:t>Sec. 1111(b)(1)(F)</w:t>
            </w:r>
          </w:p>
        </w:tc>
      </w:tr>
      <w:tr w:rsidR="00F25E58" w14:paraId="4CA874C2" w14:textId="77777777">
        <w:trPr>
          <w:jc w:val="center"/>
        </w:trPr>
        <w:tc>
          <w:tcPr>
            <w:tcW w:w="373" w:type="dxa"/>
            <w:shd w:val="clear" w:color="auto" w:fill="346094"/>
            <w:vAlign w:val="center"/>
          </w:tcPr>
          <w:p w14:paraId="586EBA2C" w14:textId="77777777" w:rsidR="00F25E58" w:rsidRDefault="0098493D">
            <w:pPr>
              <w:pStyle w:val="IconSpace"/>
            </w:pPr>
            <w:r>
              <w:rPr>
                <w:noProof/>
              </w:rPr>
              <w:drawing>
                <wp:inline distT="0" distB="0" distL="0" distR="0" wp14:anchorId="5E4D537B" wp14:editId="57887358">
                  <wp:extent cx="231775" cy="23177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7" w:type="dxa"/>
            <w:shd w:val="clear" w:color="auto" w:fill="D1DEEF" w:themeFill="accent1" w:themeFillTint="33"/>
            <w:vAlign w:val="center"/>
          </w:tcPr>
          <w:p w14:paraId="2AE9211F" w14:textId="77777777" w:rsidR="00F25E58" w:rsidRDefault="0098493D">
            <w:pPr>
              <w:keepNext/>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4C2EA601" w14:textId="77777777">
        <w:trPr>
          <w:trHeight w:val="333"/>
          <w:jc w:val="center"/>
        </w:trPr>
        <w:tc>
          <w:tcPr>
            <w:tcW w:w="9360" w:type="dxa"/>
            <w:gridSpan w:val="2"/>
            <w:shd w:val="clear" w:color="auto" w:fill="F2F2F2" w:themeFill="background1" w:themeFillShade="F2"/>
          </w:tcPr>
          <w:p w14:paraId="75940FCA" w14:textId="77777777" w:rsidR="00F25E58" w:rsidRDefault="0098493D">
            <w:pPr>
              <w:pStyle w:val="TableText"/>
              <w:spacing w:after="120"/>
              <w:rPr>
                <w:spacing w:val="-4"/>
              </w:rPr>
            </w:pPr>
            <w:r>
              <w:rPr>
                <w:spacing w:val="-4"/>
              </w:rPr>
              <w:t xml:space="preserve">No significant shifts from NCLB. ESSA codifies in Elementary and Secondary Education Act (ESEA) statute requirements regarding ELP standards originally established in nonregulatory guidance under NCLB. This guidance has been updated for ESSA: </w:t>
            </w:r>
            <w:hyperlink r:id="rId15" w:history="1">
              <w:r>
                <w:rPr>
                  <w:rStyle w:val="Hyperlink"/>
                  <w:spacing w:val="-4"/>
                </w:rPr>
                <w:t>English Learners and Title III of the ESEA</w:t>
              </w:r>
            </w:hyperlink>
            <w:r>
              <w:rPr>
                <w:rStyle w:val="Hyperlink"/>
                <w:spacing w:val="-4"/>
              </w:rPr>
              <w:t>.</w:t>
            </w:r>
          </w:p>
        </w:tc>
      </w:tr>
      <w:tr w:rsidR="00F25E58" w14:paraId="768083A1" w14:textId="77777777">
        <w:trPr>
          <w:trHeight w:val="180"/>
          <w:jc w:val="center"/>
        </w:trPr>
        <w:tc>
          <w:tcPr>
            <w:tcW w:w="9360" w:type="dxa"/>
            <w:gridSpan w:val="2"/>
            <w:shd w:val="clear" w:color="auto" w:fill="auto"/>
          </w:tcPr>
          <w:p w14:paraId="34A34450" w14:textId="77777777" w:rsidR="00F25E58" w:rsidRDefault="00F25E58">
            <w:pPr>
              <w:pStyle w:val="TableNarrowSpace"/>
            </w:pPr>
          </w:p>
        </w:tc>
      </w:tr>
      <w:tr w:rsidR="00F25E58" w14:paraId="23B1E651" w14:textId="77777777">
        <w:trPr>
          <w:jc w:val="center"/>
        </w:trPr>
        <w:tc>
          <w:tcPr>
            <w:tcW w:w="373" w:type="dxa"/>
            <w:shd w:val="clear" w:color="auto" w:fill="346094"/>
            <w:vAlign w:val="center"/>
          </w:tcPr>
          <w:p w14:paraId="3B46BE23" w14:textId="77777777" w:rsidR="00F25E58" w:rsidRDefault="0098493D">
            <w:pPr>
              <w:pStyle w:val="IconSpace"/>
            </w:pPr>
            <w:r>
              <w:rPr>
                <w:noProof/>
              </w:rPr>
              <w:drawing>
                <wp:inline distT="0" distB="0" distL="0" distR="0" wp14:anchorId="28BDD2C2" wp14:editId="154B2383">
                  <wp:extent cx="231775" cy="23177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7" w:type="dxa"/>
            <w:shd w:val="clear" w:color="auto" w:fill="D1DEEF" w:themeFill="accent1" w:themeFillTint="33"/>
            <w:vAlign w:val="center"/>
          </w:tcPr>
          <w:p w14:paraId="23F907ED"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51035157" w14:textId="77777777">
        <w:trPr>
          <w:trHeight w:val="1332"/>
          <w:jc w:val="center"/>
        </w:trPr>
        <w:tc>
          <w:tcPr>
            <w:tcW w:w="9360" w:type="dxa"/>
            <w:gridSpan w:val="2"/>
            <w:shd w:val="clear" w:color="auto" w:fill="F2F2F2" w:themeFill="background1" w:themeFillShade="F2"/>
          </w:tcPr>
          <w:p w14:paraId="7ADD7562" w14:textId="77777777" w:rsidR="00F25E58" w:rsidRDefault="001426BD">
            <w:pPr>
              <w:pStyle w:val="TableBullet1"/>
              <w:spacing w:before="40"/>
              <w:rPr>
                <w:rStyle w:val="Hyperlink"/>
              </w:rPr>
            </w:pPr>
            <w:hyperlink r:id="rId16" w:history="1">
              <w:r w:rsidR="0098493D">
                <w:rPr>
                  <w:rStyle w:val="Hyperlink"/>
                </w:rPr>
                <w:t>The Role of Language and Literacy in College- and Career-Ready Standards: Rethinking Policy and Practice in Support of English Language Learners</w:t>
              </w:r>
              <w:r w:rsidR="0098493D">
                <w:rPr>
                  <w:rStyle w:val="Hyperlink"/>
                  <w:u w:val="none"/>
                </w:rPr>
                <w:t xml:space="preserve"> </w:t>
              </w:r>
              <w:r w:rsidR="0098493D">
                <w:t>(Alliance for Excellent Education, 2012)</w:t>
              </w:r>
            </w:hyperlink>
          </w:p>
          <w:p w14:paraId="1CED2724" w14:textId="77777777" w:rsidR="00F25E58" w:rsidRDefault="001426BD">
            <w:pPr>
              <w:pStyle w:val="TableBullet1"/>
              <w:spacing w:after="120"/>
              <w:rPr>
                <w:rFonts w:eastAsiaTheme="minorHAnsi"/>
                <w:color w:val="auto"/>
              </w:rPr>
            </w:pPr>
            <w:hyperlink r:id="rId17" w:history="1">
              <w:r w:rsidR="0098493D">
                <w:rPr>
                  <w:rStyle w:val="Hyperlink"/>
                </w:rPr>
                <w:t>Framework for English Language Proficiency Development Standards Corresponding to the Common Core State Standards and the Next Generation Science Standards</w:t>
              </w:r>
              <w:r w:rsidR="0098493D">
                <w:rPr>
                  <w:rStyle w:val="Hyperlink"/>
                  <w:u w:val="none"/>
                </w:rPr>
                <w:t xml:space="preserve"> </w:t>
              </w:r>
              <w:r w:rsidR="0098493D">
                <w:t>(CCSSO, 2012)</w:t>
              </w:r>
            </w:hyperlink>
          </w:p>
        </w:tc>
      </w:tr>
    </w:tbl>
    <w:p w14:paraId="07545877" w14:textId="77777777" w:rsidR="00F25E58" w:rsidRDefault="00F25E58" w:rsidP="00E61A75">
      <w:pPr>
        <w:pStyle w:val="TableNarrowSpace"/>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60876385" w14:textId="77777777">
        <w:trPr>
          <w:jc w:val="center"/>
        </w:trPr>
        <w:tc>
          <w:tcPr>
            <w:tcW w:w="378" w:type="dxa"/>
            <w:shd w:val="clear" w:color="auto" w:fill="346094"/>
          </w:tcPr>
          <w:p w14:paraId="49D2893F" w14:textId="77777777" w:rsidR="00F25E58" w:rsidRDefault="0098493D">
            <w:pPr>
              <w:pStyle w:val="IconSpace"/>
            </w:pPr>
            <w:r>
              <w:rPr>
                <w:noProof/>
              </w:rPr>
              <w:drawing>
                <wp:inline distT="0" distB="0" distL="0" distR="0" wp14:anchorId="7E9E138E" wp14:editId="11612CEB">
                  <wp:extent cx="225425" cy="225425"/>
                  <wp:effectExtent l="0" t="0" r="3175" b="317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2CE822AF" w14:textId="77777777" w:rsidR="00F25E58" w:rsidRDefault="0098493D">
            <w:pPr>
              <w:pStyle w:val="TableSubheading"/>
            </w:pPr>
            <w:r>
              <w:t>I. C. Alternate Academic Achievement Standards</w:t>
            </w:r>
          </w:p>
        </w:tc>
      </w:tr>
      <w:tr w:rsidR="00F25E58" w14:paraId="3AC7D70E" w14:textId="77777777">
        <w:trPr>
          <w:trHeight w:val="2619"/>
          <w:jc w:val="center"/>
        </w:trPr>
        <w:tc>
          <w:tcPr>
            <w:tcW w:w="9576" w:type="dxa"/>
            <w:gridSpan w:val="2"/>
          </w:tcPr>
          <w:p w14:paraId="4501DE40" w14:textId="77777777" w:rsidR="00F25E58" w:rsidRDefault="0098493D">
            <w:pPr>
              <w:pStyle w:val="TableText"/>
            </w:pPr>
            <w:r>
              <w:t xml:space="preserve">Each state may adopt alternate academic achievement standards for students </w:t>
            </w:r>
            <w:r w:rsidRPr="00144F0B">
              <w:t>with the most significant</w:t>
            </w:r>
            <w:r>
              <w:t xml:space="preserve"> cognitive disabilities, provided those standards:</w:t>
            </w:r>
          </w:p>
          <w:p w14:paraId="73B81D88" w14:textId="77777777" w:rsidR="00F25E58" w:rsidRDefault="0098493D">
            <w:pPr>
              <w:pStyle w:val="TableBullet1"/>
            </w:pPr>
            <w:r>
              <w:t>Are aligned with the challenging state academic standards;</w:t>
            </w:r>
          </w:p>
          <w:p w14:paraId="7951D3E7" w14:textId="77777777" w:rsidR="00F25E58" w:rsidRDefault="0098493D">
            <w:pPr>
              <w:pStyle w:val="TableBulletTight"/>
            </w:pPr>
            <w:r>
              <w:t>Promote access to the general education curriculum, consistent with the Individuals with Disabilities Education Act (20 U.S.C. 1414(d)(3)) regarding the development of IEPs;</w:t>
            </w:r>
          </w:p>
          <w:p w14:paraId="533B3B87" w14:textId="77777777" w:rsidR="00F25E58" w:rsidRDefault="0098493D">
            <w:pPr>
              <w:pStyle w:val="TableBulletTight"/>
            </w:pPr>
            <w:r>
              <w:t>Reflect professional judgment as to the highest possible standards achievable by such students;</w:t>
            </w:r>
          </w:p>
          <w:p w14:paraId="22679890" w14:textId="77777777" w:rsidR="00F25E58" w:rsidRDefault="0098493D">
            <w:pPr>
              <w:pStyle w:val="TableBulletTight"/>
            </w:pPr>
            <w:r>
              <w:t>Are noted in the IEP of each student; and</w:t>
            </w:r>
          </w:p>
          <w:p w14:paraId="7B54A313" w14:textId="77777777" w:rsidR="00F25E58" w:rsidRDefault="0098493D">
            <w:pPr>
              <w:pStyle w:val="TableBulletTight"/>
            </w:pPr>
            <w:r>
              <w:t>Are aligned to ensure that students meeting the standards are on track to pursue postsecondary education or employment, consistent with the Rehabilitation Act of 1973 (Public Law 93-112).</w:t>
            </w:r>
          </w:p>
          <w:p w14:paraId="79011D24" w14:textId="77777777" w:rsidR="00F25E58" w:rsidRDefault="0098493D" w:rsidP="00F93284">
            <w:pPr>
              <w:pStyle w:val="TableText6above"/>
              <w:spacing w:before="80" w:after="80"/>
            </w:pPr>
            <w:r>
              <w:t>Sec. 1111(b)(1)(E)</w:t>
            </w:r>
          </w:p>
        </w:tc>
      </w:tr>
      <w:tr w:rsidR="00F25E58" w14:paraId="63726E0A" w14:textId="77777777">
        <w:trPr>
          <w:jc w:val="center"/>
        </w:trPr>
        <w:tc>
          <w:tcPr>
            <w:tcW w:w="378" w:type="dxa"/>
            <w:shd w:val="clear" w:color="auto" w:fill="346094"/>
            <w:vAlign w:val="center"/>
          </w:tcPr>
          <w:p w14:paraId="1F91F9FF" w14:textId="77777777" w:rsidR="00F25E58" w:rsidRDefault="0098493D">
            <w:pPr>
              <w:pStyle w:val="IconSpace"/>
            </w:pPr>
            <w:r>
              <w:rPr>
                <w:noProof/>
              </w:rPr>
              <w:drawing>
                <wp:inline distT="0" distB="0" distL="0" distR="0" wp14:anchorId="5804F070" wp14:editId="5088D3F3">
                  <wp:extent cx="231775" cy="23177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3E30712C"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43A1604D" w14:textId="77777777">
        <w:trPr>
          <w:trHeight w:val="333"/>
          <w:jc w:val="center"/>
        </w:trPr>
        <w:tc>
          <w:tcPr>
            <w:tcW w:w="9576" w:type="dxa"/>
            <w:gridSpan w:val="2"/>
            <w:shd w:val="clear" w:color="auto" w:fill="F2F2F2" w:themeFill="background1" w:themeFillShade="F2"/>
          </w:tcPr>
          <w:p w14:paraId="37F4534B" w14:textId="77777777" w:rsidR="00F25E58" w:rsidRDefault="0098493D">
            <w:pPr>
              <w:pStyle w:val="TableText"/>
            </w:pPr>
            <w:r>
              <w:t xml:space="preserve">NCLB included most of the same basic provisions. ESSA codifies in ESEA statute provisions regarding the alternate academic achievement standards for students with the most significant cognitive disabilities; these were originally established under </w:t>
            </w:r>
            <w:hyperlink r:id="rId18" w:history="1">
              <w:r>
                <w:rPr>
                  <w:rStyle w:val="Hyperlink"/>
                </w:rPr>
                <w:t>nonregulatory guidance under NCLB</w:t>
              </w:r>
            </w:hyperlink>
            <w:r>
              <w:t xml:space="preserve">. </w:t>
            </w:r>
          </w:p>
          <w:p w14:paraId="332C4009" w14:textId="77777777" w:rsidR="00F25E58" w:rsidRDefault="0098493D">
            <w:pPr>
              <w:pStyle w:val="TableText6above"/>
              <w:spacing w:after="120"/>
            </w:pPr>
            <w:r>
              <w:t xml:space="preserve">ESSA adds the requirement that these standards ensure that students are on track to college or employment and that they are noted in applicable students’ IEPs. </w:t>
            </w:r>
          </w:p>
        </w:tc>
      </w:tr>
      <w:tr w:rsidR="00F25E58" w14:paraId="706DC74D" w14:textId="77777777">
        <w:trPr>
          <w:trHeight w:val="360"/>
          <w:jc w:val="center"/>
        </w:trPr>
        <w:tc>
          <w:tcPr>
            <w:tcW w:w="9576" w:type="dxa"/>
            <w:gridSpan w:val="2"/>
          </w:tcPr>
          <w:p w14:paraId="20F84B4F" w14:textId="77777777" w:rsidR="00F25E58" w:rsidRDefault="00F25E58">
            <w:pPr>
              <w:pStyle w:val="TableNarrowSpace"/>
            </w:pPr>
          </w:p>
        </w:tc>
      </w:tr>
      <w:tr w:rsidR="00F25E58" w14:paraId="67235C47" w14:textId="77777777">
        <w:trPr>
          <w:jc w:val="center"/>
        </w:trPr>
        <w:tc>
          <w:tcPr>
            <w:tcW w:w="378" w:type="dxa"/>
            <w:shd w:val="clear" w:color="auto" w:fill="346094"/>
            <w:vAlign w:val="center"/>
          </w:tcPr>
          <w:p w14:paraId="3E83B841" w14:textId="77777777" w:rsidR="00F25E58" w:rsidRDefault="0098493D">
            <w:pPr>
              <w:pStyle w:val="IconSpace"/>
            </w:pPr>
            <w:r>
              <w:rPr>
                <w:noProof/>
              </w:rPr>
              <w:drawing>
                <wp:inline distT="0" distB="0" distL="0" distR="0" wp14:anchorId="2C37F442" wp14:editId="79A25FCA">
                  <wp:extent cx="231775" cy="23177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9198" w:type="dxa"/>
            <w:shd w:val="clear" w:color="auto" w:fill="D1DEEF" w:themeFill="accent1" w:themeFillTint="33"/>
            <w:vAlign w:val="center"/>
          </w:tcPr>
          <w:p w14:paraId="5E406303"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3364F0ED" w14:textId="77777777" w:rsidTr="00E043B1">
        <w:trPr>
          <w:trHeight w:val="630"/>
          <w:jc w:val="center"/>
        </w:trPr>
        <w:tc>
          <w:tcPr>
            <w:tcW w:w="9576" w:type="dxa"/>
            <w:gridSpan w:val="2"/>
            <w:shd w:val="clear" w:color="auto" w:fill="F2F2F2" w:themeFill="background1" w:themeFillShade="F2"/>
          </w:tcPr>
          <w:p w14:paraId="5298091A" w14:textId="77777777" w:rsidR="00F25E58" w:rsidRDefault="0098493D">
            <w:pPr>
              <w:pStyle w:val="TableBullet1"/>
              <w:rPr>
                <w:rStyle w:val="Hyperlink"/>
              </w:rPr>
            </w:pPr>
            <w:r>
              <w:rPr>
                <w:rStyle w:val="Hyperlink"/>
              </w:rPr>
              <w:fldChar w:fldCharType="begin"/>
            </w:r>
            <w:r>
              <w:rPr>
                <w:rStyle w:val="Hyperlink"/>
              </w:rPr>
              <w:instrText xml:space="preserve"> HYPERLINK "http://www.ccrscenter.org/sites/default/files/Improving%20College%20and%20Career%20Readiness%20for%20Students%20with%20Disabilities.pdf" </w:instrText>
            </w:r>
            <w:r>
              <w:rPr>
                <w:rStyle w:val="Hyperlink"/>
              </w:rPr>
              <w:fldChar w:fldCharType="separate"/>
            </w:r>
            <w:r>
              <w:rPr>
                <w:rStyle w:val="Hyperlink"/>
              </w:rPr>
              <w:t>Improving College and Career Readiness for Students with Disabilities</w:t>
            </w:r>
            <w:r>
              <w:t xml:space="preserve"> (CCRS Center, 2013)</w:t>
            </w:r>
          </w:p>
          <w:p w14:paraId="2DA20735" w14:textId="77777777" w:rsidR="00F25E58" w:rsidRDefault="0098493D">
            <w:pPr>
              <w:pStyle w:val="TableBullet1"/>
              <w:ind w:left="245" w:hanging="245"/>
              <w:rPr>
                <w:rStyle w:val="Hyperlink"/>
              </w:rPr>
            </w:pPr>
            <w:r>
              <w:rPr>
                <w:rStyle w:val="Hyperlink"/>
              </w:rPr>
              <w:fldChar w:fldCharType="end"/>
            </w:r>
            <w:r>
              <w:rPr>
                <w:rStyle w:val="Hyperlink"/>
              </w:rPr>
              <w:fldChar w:fldCharType="begin"/>
            </w:r>
            <w:r>
              <w:rPr>
                <w:rStyle w:val="Hyperlink"/>
              </w:rPr>
              <w:instrText xml:space="preserve"> HYPERLINK "http://www.ncwd-youth.info/sites/default/files/Guideposts-for-Success-(English).pdf" </w:instrText>
            </w:r>
            <w:r>
              <w:rPr>
                <w:rStyle w:val="Hyperlink"/>
              </w:rPr>
              <w:fldChar w:fldCharType="separate"/>
            </w:r>
            <w:r>
              <w:rPr>
                <w:rStyle w:val="Hyperlink"/>
              </w:rPr>
              <w:t>Guideposts for Success</w:t>
            </w:r>
            <w:r>
              <w:t xml:space="preserve"> (National Collaborative on Workforce and Disability, 2005)</w:t>
            </w:r>
          </w:p>
          <w:p w14:paraId="3BFB5126" w14:textId="77777777" w:rsidR="00F25E58" w:rsidRDefault="0098493D">
            <w:pPr>
              <w:pStyle w:val="TableBullet1"/>
              <w:spacing w:after="120"/>
              <w:rPr>
                <w:rStyle w:val="Hyperlink"/>
              </w:rPr>
            </w:pPr>
            <w:r>
              <w:rPr>
                <w:rStyle w:val="Hyperlink"/>
              </w:rPr>
              <w:fldChar w:fldCharType="end"/>
            </w:r>
            <w:hyperlink r:id="rId19" w:history="1">
              <w:r>
                <w:rPr>
                  <w:rStyle w:val="Hyperlink"/>
                </w:rPr>
                <w:t>Setting Alternate Achievement Standards</w:t>
              </w:r>
              <w:r>
                <w:t xml:space="preserve"> (National Center for Improvement of Educational Assessment [NCIEA], 2007)</w:t>
              </w:r>
            </w:hyperlink>
          </w:p>
        </w:tc>
      </w:tr>
    </w:tbl>
    <w:p w14:paraId="427B90EF" w14:textId="77777777" w:rsidR="00F25E58" w:rsidRDefault="00F25E58">
      <w:pPr>
        <w:pStyle w:val="TableNarrowSpace"/>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
        <w:gridCol w:w="13"/>
        <w:gridCol w:w="8954"/>
      </w:tblGrid>
      <w:tr w:rsidR="00F25E58" w14:paraId="11B1B9F1" w14:textId="77777777">
        <w:trPr>
          <w:trHeight w:val="432"/>
          <w:jc w:val="center"/>
        </w:trPr>
        <w:tc>
          <w:tcPr>
            <w:tcW w:w="9360" w:type="dxa"/>
            <w:gridSpan w:val="3"/>
            <w:shd w:val="clear" w:color="auto" w:fill="346094" w:themeFill="accent1"/>
          </w:tcPr>
          <w:p w14:paraId="1973FCB0" w14:textId="77777777" w:rsidR="00F25E58" w:rsidRDefault="0098493D">
            <w:pPr>
              <w:pStyle w:val="TableHead"/>
            </w:pPr>
            <w:r>
              <w:rPr>
                <w:bCs w:val="0"/>
              </w:rPr>
              <w:t>II.</w:t>
            </w:r>
            <w:r>
              <w:t xml:space="preserve"> STATEWIDE ASSESSMENTS</w:t>
            </w:r>
          </w:p>
        </w:tc>
      </w:tr>
      <w:tr w:rsidR="00F25E58" w14:paraId="5F151073" w14:textId="77777777">
        <w:trPr>
          <w:jc w:val="center"/>
        </w:trPr>
        <w:tc>
          <w:tcPr>
            <w:tcW w:w="393" w:type="dxa"/>
            <w:shd w:val="clear" w:color="auto" w:fill="346094"/>
          </w:tcPr>
          <w:p w14:paraId="6A370965" w14:textId="77777777" w:rsidR="00F25E58" w:rsidRDefault="0098493D">
            <w:pPr>
              <w:pStyle w:val="IconSpace"/>
            </w:pPr>
            <w:r>
              <w:rPr>
                <w:noProof/>
              </w:rPr>
              <w:drawing>
                <wp:inline distT="0" distB="0" distL="0" distR="0" wp14:anchorId="6541C416" wp14:editId="270C7C00">
                  <wp:extent cx="225425" cy="243840"/>
                  <wp:effectExtent l="0" t="0" r="3175" b="381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243840"/>
                          </a:xfrm>
                          <a:prstGeom prst="rect">
                            <a:avLst/>
                          </a:prstGeom>
                          <a:noFill/>
                        </pic:spPr>
                      </pic:pic>
                    </a:graphicData>
                  </a:graphic>
                </wp:inline>
              </w:drawing>
            </w:r>
          </w:p>
        </w:tc>
        <w:tc>
          <w:tcPr>
            <w:tcW w:w="8967" w:type="dxa"/>
            <w:gridSpan w:val="2"/>
            <w:shd w:val="clear" w:color="auto" w:fill="7F7F7F" w:themeFill="text1" w:themeFillTint="80"/>
          </w:tcPr>
          <w:p w14:paraId="5C706665" w14:textId="77777777" w:rsidR="00F25E58" w:rsidRDefault="0098493D">
            <w:pPr>
              <w:pStyle w:val="TableSubheading"/>
              <w:keepNext/>
            </w:pPr>
            <w:r>
              <w:t>II. A. High-Quality Statewide Assessments</w:t>
            </w:r>
          </w:p>
        </w:tc>
      </w:tr>
      <w:tr w:rsidR="00F25E58" w14:paraId="64BC3E5E" w14:textId="77777777">
        <w:trPr>
          <w:trHeight w:val="990"/>
          <w:jc w:val="center"/>
        </w:trPr>
        <w:tc>
          <w:tcPr>
            <w:tcW w:w="9360" w:type="dxa"/>
            <w:gridSpan w:val="3"/>
          </w:tcPr>
          <w:p w14:paraId="4624EADC" w14:textId="77777777" w:rsidR="00F25E58" w:rsidRDefault="0098493D">
            <w:pPr>
              <w:pStyle w:val="TableText"/>
            </w:pPr>
            <w:r>
              <w:t>Each state shall demonstrate that it has implemented high-quality statewide assessments, aligned with the challenging state standards:</w:t>
            </w:r>
          </w:p>
          <w:p w14:paraId="1152E705" w14:textId="77777777" w:rsidR="00F25E58" w:rsidRDefault="0098493D">
            <w:pPr>
              <w:pStyle w:val="TableBulletTight"/>
            </w:pPr>
            <w:r>
              <w:t xml:space="preserve">In mathematics and reading/ELA, to be administered in each </w:t>
            </w:r>
            <w:r w:rsidRPr="00144F0B">
              <w:t>of Grades 3–8 and at least</w:t>
            </w:r>
            <w:r>
              <w:t xml:space="preserve"> once in Grades 9–12; and </w:t>
            </w:r>
          </w:p>
          <w:p w14:paraId="34757047" w14:textId="77777777" w:rsidR="00F25E58" w:rsidRDefault="0098493D" w:rsidP="0011473C">
            <w:pPr>
              <w:pStyle w:val="TableBulletTight"/>
              <w:spacing w:after="120"/>
              <w:ind w:left="245" w:hanging="245"/>
            </w:pPr>
            <w:r>
              <w:t xml:space="preserve">In science, to be administered not less than once during each of the grade spans 3–5, 6–9, and </w:t>
            </w:r>
            <w:r>
              <w:br/>
              <w:t>10–12.</w:t>
            </w:r>
            <w:r>
              <w:rPr>
                <w:b/>
                <w:noProof/>
              </w:rPr>
              <w:t xml:space="preserve"> </w:t>
            </w:r>
          </w:p>
          <w:p w14:paraId="186115E2" w14:textId="77777777" w:rsidR="00F25E58" w:rsidRDefault="0098493D">
            <w:pPr>
              <w:pStyle w:val="TableText6above"/>
              <w:spacing w:before="0" w:after="0" w:line="240" w:lineRule="exact"/>
            </w:pPr>
            <w:r>
              <w:t>The assessments shall:</w:t>
            </w:r>
          </w:p>
          <w:p w14:paraId="5F913A85" w14:textId="77777777" w:rsidR="00F25E58" w:rsidRDefault="0098493D">
            <w:pPr>
              <w:pStyle w:val="TableBullet1"/>
              <w:spacing w:line="240" w:lineRule="exact"/>
            </w:pPr>
            <w:r>
              <w:t>Be the same assessments administered to all public schools and students in the state, except with regard to alternate assessments;</w:t>
            </w:r>
          </w:p>
          <w:p w14:paraId="617EDBBA" w14:textId="77777777" w:rsidR="00F25E58" w:rsidRDefault="0098493D">
            <w:pPr>
              <w:pStyle w:val="TableBullet1"/>
              <w:spacing w:line="240" w:lineRule="exact"/>
            </w:pPr>
            <w:r>
              <w:t>Provide coherent and timely information about student attainment of the challenging academic standards and whether the student is performing at grade level;</w:t>
            </w:r>
          </w:p>
          <w:p w14:paraId="5AC05F7C" w14:textId="77777777" w:rsidR="00F25E58" w:rsidRDefault="0098493D">
            <w:pPr>
              <w:pStyle w:val="TableBulletTight"/>
            </w:pPr>
            <w:r>
              <w:t>Be valid and reliable, consistent with nationally recognized professional and technical testing standards;</w:t>
            </w:r>
          </w:p>
          <w:p w14:paraId="211C0DFC" w14:textId="77777777" w:rsidR="00F25E58" w:rsidRDefault="0098493D">
            <w:pPr>
              <w:pStyle w:val="TableBullet1"/>
              <w:spacing w:line="240" w:lineRule="exact"/>
            </w:pPr>
            <w:r>
              <w:t>Objectively measure academic achievement, knowledge, and skills, and consist of tests that do not evaluate or assess personal or family beliefs or attitudes, or publicly disclose personally identifiable information;</w:t>
            </w:r>
          </w:p>
          <w:p w14:paraId="4C5152A4" w14:textId="77777777" w:rsidR="00F25E58" w:rsidRDefault="0098493D">
            <w:pPr>
              <w:pStyle w:val="TableBullet1"/>
              <w:spacing w:line="240" w:lineRule="exact"/>
            </w:pPr>
            <w:r>
              <w:t>Be of adequate technical quality for each purpose required under this Act, with the evidence of technical quality made public on the website of the SEA;</w:t>
            </w:r>
          </w:p>
          <w:p w14:paraId="66DC2C1A" w14:textId="77777777" w:rsidR="00F25E58" w:rsidRDefault="0098493D">
            <w:pPr>
              <w:pStyle w:val="TableBullet1"/>
              <w:spacing w:line="240" w:lineRule="exact"/>
            </w:pPr>
            <w:r>
              <w:t>Include multiple, up-to-date measures of student academic achievement—including measures that assess higher order thinking skills and understanding—which may include measures of student academic growth and may be partially delivered in the form of portfolios, projects, or extended-performance tasks;</w:t>
            </w:r>
          </w:p>
          <w:p w14:paraId="2794C913" w14:textId="77777777" w:rsidR="00F25E58" w:rsidRDefault="0098493D">
            <w:pPr>
              <w:pStyle w:val="TableBullet1"/>
              <w:spacing w:line="240" w:lineRule="exact"/>
            </w:pPr>
            <w:r>
              <w:t>Provide for the participation in the assessments of all students, including accommodations for students with disabilities, students with the most significant cognitive disabilities, and ELs;</w:t>
            </w:r>
          </w:p>
          <w:p w14:paraId="11F29966" w14:textId="77777777" w:rsidR="00F25E58" w:rsidRDefault="0098493D">
            <w:pPr>
              <w:pStyle w:val="TableBullet1"/>
              <w:spacing w:line="240" w:lineRule="exact"/>
            </w:pPr>
            <w:r>
              <w:t>For ELs, provide, to the extent practicable, assessments in the language and form most likely to yield accurate data;</w:t>
            </w:r>
          </w:p>
          <w:p w14:paraId="22F39A13" w14:textId="77777777" w:rsidR="00F25E58" w:rsidRDefault="0098493D">
            <w:pPr>
              <w:pStyle w:val="TableBullet1"/>
              <w:spacing w:line="240" w:lineRule="exact"/>
            </w:pPr>
            <w:r>
              <w:t>Be administered through a single summative assessment or multiple interim assessments that result in a single summative score;</w:t>
            </w:r>
          </w:p>
          <w:p w14:paraId="766A9155" w14:textId="77777777" w:rsidR="00F25E58" w:rsidRDefault="0098493D">
            <w:pPr>
              <w:pStyle w:val="TableBullet1"/>
              <w:spacing w:line="240" w:lineRule="exact"/>
            </w:pPr>
            <w:r>
              <w:t>For recently arrived ELs, allow reading/ELA assessments to be administered in the student’s native language for up to 3 years initially, and for 2 additional years on a case-by-case basis;</w:t>
            </w:r>
          </w:p>
          <w:p w14:paraId="71566030" w14:textId="77777777" w:rsidR="00F25E58" w:rsidRDefault="0098493D">
            <w:pPr>
              <w:pStyle w:val="TableBulletTight"/>
            </w:pPr>
            <w:r>
              <w:t xml:space="preserve">Produce individual student interpretive, descriptive, and diagnostic reports that allow parents and educators to address the specific academic needs of the student, in a language that parents can understand; </w:t>
            </w:r>
          </w:p>
          <w:p w14:paraId="19B50A73" w14:textId="77777777" w:rsidR="00F25E58" w:rsidRDefault="0098493D">
            <w:pPr>
              <w:pStyle w:val="TableBulletTight"/>
            </w:pPr>
            <w:r>
              <w:t xml:space="preserve">Enable results to be disaggregated by major racial and ethnic groups, economically disadvantaged status, English proficiency status, gender and migrant status (wherever </w:t>
            </w:r>
            <w:r>
              <w:rPr>
                <w:i/>
              </w:rPr>
              <w:t>N</w:t>
            </w:r>
            <w:r>
              <w:t>-sizes are met), and status as homeless or in foster care;</w:t>
            </w:r>
          </w:p>
          <w:p w14:paraId="515E9EBD" w14:textId="77777777" w:rsidR="00F25E58" w:rsidRDefault="0098493D">
            <w:pPr>
              <w:pStyle w:val="TableBulletTight"/>
            </w:pPr>
            <w:r>
              <w:t>Enable itemized score analyses (e.g., strand analyses) to determine student needs; and</w:t>
            </w:r>
          </w:p>
          <w:p w14:paraId="35FCA502" w14:textId="77777777" w:rsidR="00F25E58" w:rsidRDefault="0098493D">
            <w:pPr>
              <w:pStyle w:val="TableBulletTight"/>
            </w:pPr>
            <w:r>
              <w:t xml:space="preserve">Be developed, to the extent practicable, using the principles of universal design for learning. </w:t>
            </w:r>
          </w:p>
          <w:p w14:paraId="38530A3B" w14:textId="77777777" w:rsidR="00F25E58" w:rsidRDefault="0098493D" w:rsidP="0011473C">
            <w:pPr>
              <w:pStyle w:val="TableText6above"/>
              <w:spacing w:after="0" w:line="240" w:lineRule="exact"/>
            </w:pPr>
            <w:r>
              <w:t>Sec. 1111(b)(2)(B)</w:t>
            </w:r>
          </w:p>
        </w:tc>
      </w:tr>
      <w:tr w:rsidR="00F25E58" w14:paraId="47A93557" w14:textId="77777777" w:rsidTr="001B47CC">
        <w:trPr>
          <w:trHeight w:val="119"/>
          <w:jc w:val="center"/>
        </w:trPr>
        <w:tc>
          <w:tcPr>
            <w:tcW w:w="9360" w:type="dxa"/>
            <w:gridSpan w:val="3"/>
          </w:tcPr>
          <w:p w14:paraId="24B17A2F" w14:textId="77777777" w:rsidR="00F25E58" w:rsidRDefault="00F25E58" w:rsidP="001B47CC">
            <w:pPr>
              <w:pStyle w:val="TableNarrowSpace"/>
            </w:pPr>
          </w:p>
        </w:tc>
      </w:tr>
      <w:tr w:rsidR="00F25E58" w14:paraId="64FD89E9" w14:textId="77777777">
        <w:trPr>
          <w:jc w:val="center"/>
        </w:trPr>
        <w:tc>
          <w:tcPr>
            <w:tcW w:w="406" w:type="dxa"/>
            <w:gridSpan w:val="2"/>
            <w:shd w:val="clear" w:color="auto" w:fill="346094"/>
            <w:vAlign w:val="center"/>
          </w:tcPr>
          <w:p w14:paraId="41702365" w14:textId="77777777" w:rsidR="00F25E58" w:rsidRDefault="0098493D">
            <w:pPr>
              <w:pStyle w:val="IconSpace"/>
            </w:pPr>
            <w:r>
              <w:rPr>
                <w:noProof/>
              </w:rPr>
              <w:drawing>
                <wp:inline distT="0" distB="0" distL="0" distR="0" wp14:anchorId="24FDD715" wp14:editId="3930F441">
                  <wp:extent cx="231775" cy="23177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54" w:type="dxa"/>
            <w:shd w:val="clear" w:color="auto" w:fill="D1DEEF" w:themeFill="accent1" w:themeFillTint="33"/>
            <w:vAlign w:val="center"/>
          </w:tcPr>
          <w:p w14:paraId="060ABCE6" w14:textId="77777777" w:rsidR="00F25E58" w:rsidRDefault="0098493D">
            <w:pPr>
              <w:pStyle w:val="TableText"/>
              <w:keepNext/>
              <w:rPr>
                <w:b/>
              </w:rPr>
            </w:pPr>
            <w:r>
              <w:rPr>
                <w:b/>
              </w:rPr>
              <w:t>Shifts From NCLB</w:t>
            </w:r>
          </w:p>
        </w:tc>
      </w:tr>
      <w:tr w:rsidR="00F25E58" w14:paraId="5C2B9F27" w14:textId="77777777">
        <w:trPr>
          <w:trHeight w:val="333"/>
          <w:jc w:val="center"/>
        </w:trPr>
        <w:tc>
          <w:tcPr>
            <w:tcW w:w="9360" w:type="dxa"/>
            <w:gridSpan w:val="3"/>
            <w:shd w:val="clear" w:color="auto" w:fill="F2F2F2" w:themeFill="background1" w:themeFillShade="F2"/>
          </w:tcPr>
          <w:p w14:paraId="6DA09EFC" w14:textId="77777777" w:rsidR="00F25E58" w:rsidRDefault="0098493D">
            <w:pPr>
              <w:pStyle w:val="TableText"/>
              <w:spacing w:before="0"/>
            </w:pPr>
            <w:r>
              <w:t xml:space="preserve">Basic testing requirements and test administration frequency are retained from NCLB. </w:t>
            </w:r>
          </w:p>
          <w:p w14:paraId="4600269A" w14:textId="77777777" w:rsidR="00F25E58" w:rsidRDefault="0098493D" w:rsidP="0098493D">
            <w:pPr>
              <w:pStyle w:val="TableText6above"/>
              <w:spacing w:before="0" w:after="0"/>
            </w:pPr>
            <w:r>
              <w:t xml:space="preserve">ESSA adds the requirements that statewide tests: </w:t>
            </w:r>
          </w:p>
          <w:p w14:paraId="0ED5C1EF" w14:textId="77777777" w:rsidR="00F25E58" w:rsidRDefault="0098493D">
            <w:pPr>
              <w:pStyle w:val="TableBulletTight"/>
            </w:pPr>
            <w:r>
              <w:t>Provide information about whether a student is performing at grade level;</w:t>
            </w:r>
          </w:p>
          <w:p w14:paraId="397D9516" w14:textId="77777777" w:rsidR="00F25E58" w:rsidRDefault="0098493D">
            <w:pPr>
              <w:pStyle w:val="TableBulletTight"/>
            </w:pPr>
            <w:r>
              <w:t xml:space="preserve">Integrate universal design for learning principles, wherever practicable; and </w:t>
            </w:r>
          </w:p>
          <w:p w14:paraId="21CD4DBA" w14:textId="77777777" w:rsidR="00F25E58" w:rsidRDefault="0098493D" w:rsidP="0098493D">
            <w:pPr>
              <w:pStyle w:val="TableBulletTight"/>
              <w:spacing w:after="40"/>
              <w:ind w:left="245" w:hanging="245"/>
            </w:pPr>
            <w:r>
              <w:t>Do not evaluate personal or family beliefs.</w:t>
            </w:r>
          </w:p>
        </w:tc>
      </w:tr>
      <w:tr w:rsidR="00F25E58" w14:paraId="6B81D86A" w14:textId="77777777" w:rsidTr="001B47CC">
        <w:trPr>
          <w:trHeight w:val="119"/>
          <w:jc w:val="center"/>
        </w:trPr>
        <w:tc>
          <w:tcPr>
            <w:tcW w:w="9360" w:type="dxa"/>
            <w:gridSpan w:val="3"/>
          </w:tcPr>
          <w:p w14:paraId="1085790E" w14:textId="77777777" w:rsidR="00F25E58" w:rsidRDefault="00F25E58" w:rsidP="001B47CC">
            <w:pPr>
              <w:pStyle w:val="TableNarrowSpace"/>
            </w:pPr>
          </w:p>
        </w:tc>
      </w:tr>
      <w:tr w:rsidR="00F25E58" w14:paraId="068CF135" w14:textId="77777777">
        <w:trPr>
          <w:jc w:val="center"/>
        </w:trPr>
        <w:tc>
          <w:tcPr>
            <w:tcW w:w="406" w:type="dxa"/>
            <w:gridSpan w:val="2"/>
            <w:shd w:val="clear" w:color="auto" w:fill="346094"/>
            <w:vAlign w:val="center"/>
          </w:tcPr>
          <w:p w14:paraId="6F583B8A" w14:textId="77777777" w:rsidR="00F25E58" w:rsidRDefault="0098493D">
            <w:pPr>
              <w:pStyle w:val="IconSpace"/>
            </w:pPr>
            <w:r>
              <w:rPr>
                <w:noProof/>
              </w:rPr>
              <w:lastRenderedPageBreak/>
              <w:drawing>
                <wp:inline distT="0" distB="0" distL="0" distR="0" wp14:anchorId="26174139" wp14:editId="652DF8DA">
                  <wp:extent cx="231775" cy="23749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775" cy="237490"/>
                          </a:xfrm>
                          <a:prstGeom prst="rect">
                            <a:avLst/>
                          </a:prstGeom>
                          <a:noFill/>
                        </pic:spPr>
                      </pic:pic>
                    </a:graphicData>
                  </a:graphic>
                </wp:inline>
              </w:drawing>
            </w:r>
            <w:r>
              <w:t xml:space="preserve"> </w:t>
            </w:r>
          </w:p>
        </w:tc>
        <w:tc>
          <w:tcPr>
            <w:tcW w:w="8954" w:type="dxa"/>
            <w:shd w:val="clear" w:color="auto" w:fill="D1DEEF" w:themeFill="accent1" w:themeFillTint="33"/>
            <w:vAlign w:val="center"/>
          </w:tcPr>
          <w:p w14:paraId="26F0FFAA" w14:textId="77777777" w:rsidR="00F25E58" w:rsidRDefault="0098493D">
            <w:pPr>
              <w:pStyle w:val="TableText"/>
              <w:rPr>
                <w:b/>
              </w:rPr>
            </w:pPr>
            <w:r>
              <w:rPr>
                <w:b/>
                <w:spacing w:val="-4"/>
              </w:rPr>
              <w:t>Additional Resources</w:t>
            </w:r>
          </w:p>
        </w:tc>
      </w:tr>
      <w:tr w:rsidR="00F25E58" w14:paraId="59577F74" w14:textId="77777777">
        <w:trPr>
          <w:trHeight w:val="225"/>
          <w:jc w:val="center"/>
        </w:trPr>
        <w:tc>
          <w:tcPr>
            <w:tcW w:w="9360" w:type="dxa"/>
            <w:gridSpan w:val="3"/>
            <w:shd w:val="clear" w:color="auto" w:fill="F2F2F2" w:themeFill="background1" w:themeFillShade="F2"/>
          </w:tcPr>
          <w:p w14:paraId="680E2690" w14:textId="77777777" w:rsidR="00F25E58" w:rsidRDefault="0098493D">
            <w:pPr>
              <w:pStyle w:val="TableBullet1"/>
              <w:rPr>
                <w:rStyle w:val="Hyperlink"/>
              </w:rPr>
            </w:pPr>
            <w:r>
              <w:fldChar w:fldCharType="begin"/>
            </w:r>
            <w:r>
              <w:instrText xml:space="preserve"> HYPERLINK "https://www.ncbi.nlm.nih.gov/books/NBK84218/pdf/Bookshelf_NBK84218.pdf" </w:instrText>
            </w:r>
            <w:r>
              <w:fldChar w:fldCharType="separate"/>
            </w:r>
            <w:r>
              <w:rPr>
                <w:rStyle w:val="Hyperlink"/>
              </w:rPr>
              <w:t>Assessing 21st Century Skills</w:t>
            </w:r>
            <w:r>
              <w:rPr>
                <w:rStyle w:val="Hyperlink"/>
                <w:u w:val="none"/>
              </w:rPr>
              <w:t xml:space="preserve"> </w:t>
            </w:r>
            <w:r>
              <w:t>(National Research Council, 2011)</w:t>
            </w:r>
          </w:p>
          <w:p w14:paraId="01EA57E1" w14:textId="77777777" w:rsidR="00F25E58" w:rsidRDefault="0098493D">
            <w:pPr>
              <w:pStyle w:val="TableBullet1"/>
              <w:rPr>
                <w:rStyle w:val="Hyperlink"/>
                <w:u w:val="none"/>
              </w:rPr>
            </w:pPr>
            <w:r>
              <w:fldChar w:fldCharType="end"/>
            </w:r>
            <w:r>
              <w:fldChar w:fldCharType="begin"/>
            </w:r>
            <w:r>
              <w:instrText xml:space="preserve"> HYPERLINK "http://www.achieve.org/files/Achieve-ClosingExpectGap2014%20Feb5.pdf" </w:instrText>
            </w:r>
            <w:r>
              <w:fldChar w:fldCharType="separate"/>
            </w:r>
            <w:r>
              <w:rPr>
                <w:rStyle w:val="Hyperlink"/>
              </w:rPr>
              <w:t>“Assessing Students’ Readiness for College and Careers”</w:t>
            </w:r>
            <w:r>
              <w:rPr>
                <w:rStyle w:val="Hyperlink"/>
                <w:u w:val="none"/>
              </w:rPr>
              <w:t xml:space="preserve"> </w:t>
            </w:r>
            <w:r>
              <w:t>(from Closing the Expectations Gap, Achieve, 2014)</w:t>
            </w:r>
          </w:p>
          <w:p w14:paraId="163A05FE" w14:textId="77777777" w:rsidR="00F25E58" w:rsidRDefault="0098493D">
            <w:pPr>
              <w:pStyle w:val="TableBullet1"/>
              <w:rPr>
                <w:rStyle w:val="Hyperlink"/>
              </w:rPr>
            </w:pPr>
            <w:r>
              <w:fldChar w:fldCharType="end"/>
            </w:r>
            <w:r>
              <w:fldChar w:fldCharType="begin"/>
            </w:r>
            <w:r>
              <w:instrText xml:space="preserve"> HYPERLINK "http://www.nciea.org/publication_PDFs/Guide%20to%20Evaluating%20CCSSO%20Criteria%20Test%20Content%20020316.pdf" </w:instrText>
            </w:r>
            <w:r>
              <w:fldChar w:fldCharType="separate"/>
            </w:r>
            <w:r>
              <w:rPr>
                <w:rStyle w:val="Hyperlink"/>
              </w:rPr>
              <w:t xml:space="preserve">Guide to Evaluating Assessments Using the CCSSO Criteria for High-Quality Assessments </w:t>
            </w:r>
            <w:r>
              <w:rPr>
                <w:rStyle w:val="Hyperlink"/>
              </w:rPr>
              <w:br/>
            </w:r>
            <w:r>
              <w:t>(NCIEA, 2016)</w:t>
            </w:r>
          </w:p>
          <w:p w14:paraId="4B049E0B" w14:textId="77777777" w:rsidR="00F25E58" w:rsidRDefault="0098493D">
            <w:pPr>
              <w:pStyle w:val="TableBullet1"/>
              <w:rPr>
                <w:rStyle w:val="Hyperlink"/>
                <w:u w:val="none"/>
              </w:rPr>
            </w:pPr>
            <w:r>
              <w:rPr>
                <w:color w:val="0563C1"/>
                <w:u w:val="single"/>
              </w:rPr>
              <w:fldChar w:fldCharType="end"/>
            </w:r>
            <w:r>
              <w:fldChar w:fldCharType="begin"/>
            </w:r>
            <w:r>
              <w:instrText xml:space="preserve"> HYPERLINK "http://www.apa.org/science/programs/testing/fair-testing.pdf" </w:instrText>
            </w:r>
            <w:r>
              <w:fldChar w:fldCharType="separate"/>
            </w:r>
            <w:r>
              <w:rPr>
                <w:rStyle w:val="Hyperlink"/>
              </w:rPr>
              <w:t>Code of Fair Testing Practices in Education</w:t>
            </w:r>
            <w:r>
              <w:rPr>
                <w:rStyle w:val="Hyperlink"/>
                <w:u w:val="none"/>
              </w:rPr>
              <w:t xml:space="preserve"> </w:t>
            </w:r>
            <w:r>
              <w:t>(Joint Committee on Testing Practices, 2014)</w:t>
            </w:r>
          </w:p>
          <w:p w14:paraId="0B2FE264" w14:textId="77777777" w:rsidR="00F25E58" w:rsidRDefault="0098493D">
            <w:pPr>
              <w:pStyle w:val="TableBullet1"/>
              <w:rPr>
                <w:rStyle w:val="Hyperlink"/>
              </w:rPr>
            </w:pPr>
            <w:r>
              <w:fldChar w:fldCharType="end"/>
            </w:r>
            <w:r>
              <w:fldChar w:fldCharType="begin"/>
            </w:r>
            <w:r>
              <w:instrText xml:space="preserve"> HYPERLINK "https://nceo.umn.edu/docs/OnlinePubs/StateGuideUD/UDmanual.pdf" </w:instrText>
            </w:r>
            <w:r>
              <w:fldChar w:fldCharType="separate"/>
            </w:r>
            <w:r>
              <w:rPr>
                <w:rStyle w:val="Hyperlink"/>
              </w:rPr>
              <w:t>A State Guide to the Development of Universally Designed Assessments</w:t>
            </w:r>
            <w:r>
              <w:rPr>
                <w:rStyle w:val="Hyperlink"/>
                <w:u w:val="none"/>
              </w:rPr>
              <w:t xml:space="preserve"> </w:t>
            </w:r>
            <w:r>
              <w:t>(National Center on Educational Outcomes and CCSSO, 2006)</w:t>
            </w:r>
          </w:p>
          <w:p w14:paraId="470CDA5D" w14:textId="77777777" w:rsidR="00F25E58" w:rsidRDefault="0098493D">
            <w:pPr>
              <w:pStyle w:val="TableBulletTight"/>
              <w:rPr>
                <w:rStyle w:val="Hyperlink"/>
              </w:rPr>
            </w:pPr>
            <w:r>
              <w:fldChar w:fldCharType="end"/>
            </w:r>
            <w:r>
              <w:fldChar w:fldCharType="begin"/>
            </w:r>
            <w:r>
              <w:instrText>HYPERLINK "http://www.ecs.org/ec-content/uploads/12141.pdf"</w:instrText>
            </w:r>
            <w:r>
              <w:fldChar w:fldCharType="separate"/>
            </w:r>
            <w:r>
              <w:rPr>
                <w:rStyle w:val="Hyperlink"/>
              </w:rPr>
              <w:t>State Summative Assessments Overview: 2015–16 School Year</w:t>
            </w:r>
            <w:r>
              <w:rPr>
                <w:rStyle w:val="Hyperlink"/>
                <w:u w:val="none"/>
              </w:rPr>
              <w:t xml:space="preserve"> </w:t>
            </w:r>
            <w:r>
              <w:t>(Education Commission of the States [ECS], 2015)</w:t>
            </w:r>
          </w:p>
          <w:p w14:paraId="5321F8ED" w14:textId="77777777" w:rsidR="00F25E58" w:rsidRDefault="0098493D">
            <w:pPr>
              <w:pStyle w:val="TableBulletTight"/>
              <w:spacing w:after="120"/>
              <w:ind w:left="245" w:hanging="245"/>
              <w:rPr>
                <w:rStyle w:val="Hyperlink"/>
                <w:color w:val="auto"/>
                <w:u w:val="none"/>
              </w:rPr>
            </w:pPr>
            <w:r>
              <w:fldChar w:fldCharType="end"/>
            </w:r>
            <w:hyperlink r:id="rId22" w:history="1">
              <w:r>
                <w:rPr>
                  <w:rStyle w:val="Hyperlink"/>
                </w:rPr>
                <w:t>Designing Assessments for College and Career Readiness: Performance Tasks</w:t>
              </w:r>
            </w:hyperlink>
            <w:r>
              <w:t xml:space="preserve"> </w:t>
            </w:r>
            <w:r>
              <w:br/>
              <w:t>(CCRS Center video, 2016)</w:t>
            </w:r>
          </w:p>
        </w:tc>
      </w:tr>
    </w:tbl>
    <w:p w14:paraId="0CC15970" w14:textId="77777777" w:rsidR="00F25E58" w:rsidRDefault="00F25E58" w:rsidP="001B47CC">
      <w:pPr>
        <w:pStyle w:val="TableNarrowSpace"/>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40F9FF93" w14:textId="77777777">
        <w:trPr>
          <w:jc w:val="center"/>
        </w:trPr>
        <w:tc>
          <w:tcPr>
            <w:tcW w:w="378" w:type="dxa"/>
            <w:shd w:val="clear" w:color="auto" w:fill="346094"/>
          </w:tcPr>
          <w:p w14:paraId="7090DE6C" w14:textId="77777777" w:rsidR="00F25E58" w:rsidRDefault="0098493D">
            <w:pPr>
              <w:pStyle w:val="IconSpace"/>
            </w:pPr>
            <w:r>
              <w:rPr>
                <w:noProof/>
              </w:rPr>
              <w:drawing>
                <wp:inline distT="0" distB="0" distL="0" distR="0" wp14:anchorId="2FB0B889" wp14:editId="29A4247B">
                  <wp:extent cx="225425" cy="225425"/>
                  <wp:effectExtent l="0" t="0" r="3175" b="317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00B1D30B" w14:textId="77777777" w:rsidR="00F25E58" w:rsidRDefault="0098493D">
            <w:pPr>
              <w:pStyle w:val="TableSubheading"/>
            </w:pPr>
            <w:r>
              <w:t>II. B. Native Language Assessments</w:t>
            </w:r>
          </w:p>
        </w:tc>
      </w:tr>
      <w:tr w:rsidR="00F25E58" w14:paraId="554CCFBE" w14:textId="77777777">
        <w:trPr>
          <w:trHeight w:val="1710"/>
          <w:jc w:val="center"/>
        </w:trPr>
        <w:tc>
          <w:tcPr>
            <w:tcW w:w="9576" w:type="dxa"/>
            <w:gridSpan w:val="2"/>
          </w:tcPr>
          <w:p w14:paraId="51CE752E" w14:textId="641C7415" w:rsidR="00F25E58" w:rsidRPr="00A31C6F" w:rsidRDefault="0098493D">
            <w:pPr>
              <w:pStyle w:val="TableText"/>
              <w:rPr>
                <w:i/>
              </w:rPr>
            </w:pPr>
            <w:r>
              <w:t xml:space="preserve">State plans shall identify the languages other than English that are present to a significant extent in the participating student population and for which statewide tests are not available and are needed. States must make every effort to develop such assessments and may request assistance from the Secretary as needed (the Secretary cannot mandate a specific academic assessment). </w:t>
            </w:r>
          </w:p>
          <w:p w14:paraId="787255A7" w14:textId="74337034" w:rsidR="00F25E58" w:rsidRDefault="0098493D">
            <w:pPr>
              <w:pStyle w:val="TableText6above"/>
              <w:spacing w:after="240"/>
            </w:pPr>
            <w:r>
              <w:t>Sec. 1111(b)(2)(F)</w:t>
            </w:r>
          </w:p>
        </w:tc>
      </w:tr>
      <w:tr w:rsidR="00F25E58" w14:paraId="6EEA838E" w14:textId="77777777">
        <w:trPr>
          <w:jc w:val="center"/>
        </w:trPr>
        <w:tc>
          <w:tcPr>
            <w:tcW w:w="378" w:type="dxa"/>
            <w:shd w:val="clear" w:color="auto" w:fill="346094"/>
            <w:vAlign w:val="center"/>
          </w:tcPr>
          <w:p w14:paraId="7ECA9166" w14:textId="77777777" w:rsidR="00F25E58" w:rsidRDefault="0098493D">
            <w:pPr>
              <w:pStyle w:val="IconSpace"/>
            </w:pPr>
            <w:r>
              <w:rPr>
                <w:noProof/>
              </w:rPr>
              <w:drawing>
                <wp:inline distT="0" distB="0" distL="0" distR="0" wp14:anchorId="19184BD1" wp14:editId="54214F31">
                  <wp:extent cx="231775" cy="23177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3C38ED0B"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7E691218" w14:textId="77777777">
        <w:trPr>
          <w:trHeight w:val="333"/>
          <w:jc w:val="center"/>
        </w:trPr>
        <w:tc>
          <w:tcPr>
            <w:tcW w:w="9576" w:type="dxa"/>
            <w:gridSpan w:val="2"/>
            <w:shd w:val="clear" w:color="auto" w:fill="F2F2F2" w:themeFill="background1" w:themeFillShade="F2"/>
          </w:tcPr>
          <w:p w14:paraId="35C5C025" w14:textId="3880614D" w:rsidR="00F25E58" w:rsidRDefault="0098493D">
            <w:pPr>
              <w:pStyle w:val="TableText"/>
            </w:pPr>
            <w:r>
              <w:t xml:space="preserve">NCLB required states to make every effort to develop statewide tests in the native languages of students. ESSA adds that these tests should be provided where non-English languages are present to a significant extent. </w:t>
            </w:r>
          </w:p>
        </w:tc>
      </w:tr>
      <w:tr w:rsidR="00F25E58" w14:paraId="2937168C" w14:textId="77777777">
        <w:trPr>
          <w:trHeight w:val="234"/>
          <w:jc w:val="center"/>
        </w:trPr>
        <w:tc>
          <w:tcPr>
            <w:tcW w:w="9576" w:type="dxa"/>
            <w:gridSpan w:val="2"/>
          </w:tcPr>
          <w:p w14:paraId="1FE82DF0" w14:textId="77777777" w:rsidR="00F25E58" w:rsidRDefault="00F25E58" w:rsidP="001B47CC">
            <w:pPr>
              <w:pStyle w:val="TableNarrowSpace"/>
            </w:pPr>
          </w:p>
        </w:tc>
      </w:tr>
      <w:tr w:rsidR="00F25E58" w14:paraId="5B5A1104" w14:textId="77777777">
        <w:trPr>
          <w:jc w:val="center"/>
        </w:trPr>
        <w:tc>
          <w:tcPr>
            <w:tcW w:w="378" w:type="dxa"/>
            <w:shd w:val="clear" w:color="auto" w:fill="346094"/>
            <w:vAlign w:val="center"/>
          </w:tcPr>
          <w:p w14:paraId="4168C1D7" w14:textId="77777777" w:rsidR="00F25E58" w:rsidRDefault="0098493D">
            <w:pPr>
              <w:pStyle w:val="IconSpace"/>
            </w:pPr>
            <w:r>
              <w:rPr>
                <w:noProof/>
              </w:rPr>
              <w:drawing>
                <wp:inline distT="0" distB="0" distL="0" distR="0" wp14:anchorId="1CE7E278" wp14:editId="06E7DD01">
                  <wp:extent cx="231775" cy="23177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9198" w:type="dxa"/>
            <w:shd w:val="clear" w:color="auto" w:fill="D1DEEF" w:themeFill="accent1" w:themeFillTint="33"/>
            <w:vAlign w:val="center"/>
          </w:tcPr>
          <w:p w14:paraId="6AE12BCC"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6CEBAAC5" w14:textId="77777777">
        <w:trPr>
          <w:trHeight w:val="990"/>
          <w:jc w:val="center"/>
        </w:trPr>
        <w:tc>
          <w:tcPr>
            <w:tcW w:w="9576" w:type="dxa"/>
            <w:gridSpan w:val="2"/>
            <w:shd w:val="clear" w:color="auto" w:fill="F2F2F2" w:themeFill="background1" w:themeFillShade="F2"/>
          </w:tcPr>
          <w:p w14:paraId="294BB37A" w14:textId="77777777" w:rsidR="00F25E58" w:rsidRDefault="0098493D">
            <w:pPr>
              <w:pStyle w:val="TableBullet1"/>
              <w:rPr>
                <w:rStyle w:val="Hyperlink"/>
                <w:rFonts w:eastAsia="Calibri"/>
                <w:szCs w:val="20"/>
              </w:rPr>
            </w:pPr>
            <w:r>
              <w:fldChar w:fldCharType="begin"/>
            </w:r>
            <w:r>
              <w:instrText xml:space="preserve"> HYPERLINK "https://www.ets.org/s/about/pdf/ell_guidelines.pdf" </w:instrText>
            </w:r>
            <w:r>
              <w:fldChar w:fldCharType="separate"/>
            </w:r>
            <w:r>
              <w:rPr>
                <w:rStyle w:val="Hyperlink"/>
                <w:rFonts w:eastAsia="Calibri"/>
                <w:szCs w:val="20"/>
              </w:rPr>
              <w:t>Guidelines for the Assessment of English Language Learners</w:t>
            </w:r>
            <w:r>
              <w:t xml:space="preserve"> (Educational Testing Service, 2009)</w:t>
            </w:r>
          </w:p>
          <w:p w14:paraId="58310DCF" w14:textId="77777777" w:rsidR="00F25E58" w:rsidRDefault="0098493D">
            <w:pPr>
              <w:pStyle w:val="TableBullet1"/>
              <w:rPr>
                <w:rFonts w:eastAsiaTheme="minorHAnsi"/>
                <w:color w:val="auto"/>
              </w:rPr>
            </w:pPr>
            <w:r>
              <w:fldChar w:fldCharType="end"/>
            </w:r>
            <w:hyperlink r:id="rId23" w:history="1">
              <w:r>
                <w:rPr>
                  <w:rStyle w:val="Hyperlink"/>
                  <w:rFonts w:eastAsia="Calibri"/>
                  <w:szCs w:val="20"/>
                </w:rPr>
                <w:t xml:space="preserve">Standards-Based Assessment in the Native Language: A Practical Guide to the Issues </w:t>
              </w:r>
              <w:r>
                <w:t>(NLA-LEP Partnership, 2008)</w:t>
              </w:r>
            </w:hyperlink>
          </w:p>
        </w:tc>
      </w:tr>
    </w:tbl>
    <w:p w14:paraId="280328FA" w14:textId="77777777" w:rsidR="00F25E58" w:rsidRDefault="00F25E58" w:rsidP="001B47CC">
      <w:pPr>
        <w:pStyle w:val="TableNarrowSpace"/>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4629C71C" w14:textId="77777777">
        <w:trPr>
          <w:jc w:val="center"/>
        </w:trPr>
        <w:tc>
          <w:tcPr>
            <w:tcW w:w="378" w:type="dxa"/>
            <w:shd w:val="clear" w:color="auto" w:fill="346094"/>
          </w:tcPr>
          <w:p w14:paraId="1C47B765" w14:textId="77777777" w:rsidR="00F25E58" w:rsidRDefault="0098493D">
            <w:pPr>
              <w:pStyle w:val="IconSpace"/>
              <w:keepNext/>
            </w:pPr>
            <w:r>
              <w:rPr>
                <w:noProof/>
              </w:rPr>
              <w:drawing>
                <wp:inline distT="0" distB="0" distL="0" distR="0" wp14:anchorId="081626D0" wp14:editId="54DBBCEC">
                  <wp:extent cx="225425" cy="225425"/>
                  <wp:effectExtent l="0" t="0" r="3175" b="317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0653567E" w14:textId="77777777" w:rsidR="00F25E58" w:rsidRDefault="0098493D">
            <w:pPr>
              <w:pStyle w:val="TableSubheading"/>
              <w:keepNext/>
            </w:pPr>
            <w:r>
              <w:t>II. C. English Language Proficiency Assessments</w:t>
            </w:r>
          </w:p>
        </w:tc>
      </w:tr>
      <w:tr w:rsidR="00F25E58" w14:paraId="697D9B00" w14:textId="77777777">
        <w:trPr>
          <w:trHeight w:val="810"/>
          <w:jc w:val="center"/>
        </w:trPr>
        <w:tc>
          <w:tcPr>
            <w:tcW w:w="9576" w:type="dxa"/>
            <w:gridSpan w:val="2"/>
          </w:tcPr>
          <w:p w14:paraId="4BC864DF" w14:textId="77777777" w:rsidR="00F25E58" w:rsidRDefault="0098493D">
            <w:pPr>
              <w:pStyle w:val="TableText"/>
              <w:keepNext/>
              <w:rPr>
                <w:spacing w:val="-4"/>
              </w:rPr>
            </w:pPr>
            <w:r>
              <w:rPr>
                <w:spacing w:val="-4"/>
              </w:rPr>
              <w:t xml:space="preserve">Each state must administer to all ELs annually an ELP assessment that is aligned with the </w:t>
            </w:r>
            <w:r w:rsidRPr="00144F0B">
              <w:rPr>
                <w:spacing w:val="-4"/>
              </w:rPr>
              <w:t>ELP standards.</w:t>
            </w:r>
          </w:p>
          <w:p w14:paraId="61D2A7D6" w14:textId="77777777" w:rsidR="00F25E58" w:rsidRDefault="0098493D">
            <w:pPr>
              <w:pStyle w:val="TableText6above"/>
              <w:keepNext/>
              <w:spacing w:after="180"/>
            </w:pPr>
            <w:r>
              <w:t>Sec. 1111(b)(2)(G)</w:t>
            </w:r>
          </w:p>
        </w:tc>
      </w:tr>
      <w:tr w:rsidR="00F25E58" w14:paraId="5EAB1079" w14:textId="77777777">
        <w:trPr>
          <w:jc w:val="center"/>
        </w:trPr>
        <w:tc>
          <w:tcPr>
            <w:tcW w:w="378" w:type="dxa"/>
            <w:shd w:val="clear" w:color="auto" w:fill="346094"/>
            <w:vAlign w:val="center"/>
          </w:tcPr>
          <w:p w14:paraId="12B03C2C" w14:textId="77777777" w:rsidR="00F25E58" w:rsidRDefault="0098493D">
            <w:pPr>
              <w:pStyle w:val="IconSpace"/>
              <w:keepNext/>
            </w:pPr>
            <w:r>
              <w:rPr>
                <w:noProof/>
              </w:rPr>
              <w:drawing>
                <wp:inline distT="0" distB="0" distL="0" distR="0" wp14:anchorId="0CEB8EE4" wp14:editId="43D57C8C">
                  <wp:extent cx="231775" cy="23177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0E01306A" w14:textId="77777777" w:rsidR="00F25E58" w:rsidRDefault="0098493D">
            <w:pPr>
              <w:keepNext/>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1F0D346E" w14:textId="77777777">
        <w:trPr>
          <w:trHeight w:val="333"/>
          <w:jc w:val="center"/>
        </w:trPr>
        <w:tc>
          <w:tcPr>
            <w:tcW w:w="9576" w:type="dxa"/>
            <w:gridSpan w:val="2"/>
            <w:shd w:val="clear" w:color="auto" w:fill="F2F2F2" w:themeFill="background1" w:themeFillShade="F2"/>
          </w:tcPr>
          <w:p w14:paraId="63A3D41C" w14:textId="77777777" w:rsidR="00F25E58" w:rsidRDefault="0098493D">
            <w:pPr>
              <w:pStyle w:val="TableText"/>
            </w:pPr>
            <w:r>
              <w:t xml:space="preserve">ESSA codifies in ESEA statute requirements regarding the statewide assessment of EL students that were previously established in nonregulatory guidance on </w:t>
            </w:r>
            <w:hyperlink r:id="rId24" w:history="1">
              <w:r>
                <w:rPr>
                  <w:color w:val="0563C1"/>
                  <w:u w:val="single"/>
                </w:rPr>
                <w:t>Regulations Regarding Assessment and Accountability for Recently Arrived and Former Limited English Proficient (LEP) Students</w:t>
              </w:r>
            </w:hyperlink>
            <w:r>
              <w:t xml:space="preserve"> under NCLB. </w:t>
            </w:r>
          </w:p>
        </w:tc>
      </w:tr>
      <w:tr w:rsidR="00F25E58" w14:paraId="36D25D18" w14:textId="77777777">
        <w:trPr>
          <w:trHeight w:val="261"/>
          <w:jc w:val="center"/>
        </w:trPr>
        <w:tc>
          <w:tcPr>
            <w:tcW w:w="9576" w:type="dxa"/>
            <w:gridSpan w:val="2"/>
          </w:tcPr>
          <w:p w14:paraId="58A115E8" w14:textId="77777777" w:rsidR="00F25E58" w:rsidRDefault="00F25E58">
            <w:pPr>
              <w:pStyle w:val="TableText"/>
              <w:spacing w:before="0" w:after="0"/>
            </w:pPr>
          </w:p>
        </w:tc>
      </w:tr>
      <w:tr w:rsidR="00F25E58" w14:paraId="4B630050" w14:textId="77777777">
        <w:trPr>
          <w:jc w:val="center"/>
        </w:trPr>
        <w:tc>
          <w:tcPr>
            <w:tcW w:w="378" w:type="dxa"/>
            <w:shd w:val="clear" w:color="auto" w:fill="346094"/>
            <w:vAlign w:val="center"/>
          </w:tcPr>
          <w:p w14:paraId="3F4A2634" w14:textId="77777777" w:rsidR="00F25E58" w:rsidRDefault="0098493D">
            <w:pPr>
              <w:pStyle w:val="IconSpace"/>
            </w:pPr>
            <w:r>
              <w:rPr>
                <w:noProof/>
              </w:rPr>
              <w:drawing>
                <wp:inline distT="0" distB="0" distL="0" distR="0" wp14:anchorId="7017D7C8" wp14:editId="5DBDF416">
                  <wp:extent cx="231775" cy="23177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9198" w:type="dxa"/>
            <w:shd w:val="clear" w:color="auto" w:fill="D1DEEF" w:themeFill="accent1" w:themeFillTint="33"/>
            <w:vAlign w:val="center"/>
          </w:tcPr>
          <w:p w14:paraId="1AA8737B"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6A35B347" w14:textId="77777777" w:rsidTr="001B47CC">
        <w:trPr>
          <w:trHeight w:val="270"/>
          <w:jc w:val="center"/>
        </w:trPr>
        <w:tc>
          <w:tcPr>
            <w:tcW w:w="9576" w:type="dxa"/>
            <w:gridSpan w:val="2"/>
            <w:shd w:val="clear" w:color="auto" w:fill="F2F2F2" w:themeFill="background1" w:themeFillShade="F2"/>
          </w:tcPr>
          <w:p w14:paraId="300FD39B" w14:textId="77777777" w:rsidR="00F25E58" w:rsidRDefault="001426BD" w:rsidP="001B47CC">
            <w:pPr>
              <w:pStyle w:val="TableBullet1"/>
              <w:rPr>
                <w:rStyle w:val="Hyperlink"/>
              </w:rPr>
            </w:pPr>
            <w:hyperlink r:id="rId25" w:history="1">
              <w:r w:rsidR="0098493D">
                <w:rPr>
                  <w:rStyle w:val="Hyperlink"/>
                </w:rPr>
                <w:t xml:space="preserve">Framework for High-Quality English Language Proficiency Standards and Assessments: Brief </w:t>
              </w:r>
              <w:r w:rsidR="0098493D">
                <w:t>(WestEd/National Center for Research on Evaluation, Standards, and Student Testing, 2009)</w:t>
              </w:r>
            </w:hyperlink>
          </w:p>
        </w:tc>
      </w:tr>
    </w:tbl>
    <w:p w14:paraId="292BA00F" w14:textId="77777777" w:rsidR="00F25E58" w:rsidRDefault="00F25E58">
      <w:pPr>
        <w:pStyle w:val="TableText"/>
        <w:spacing w:before="0" w:after="0"/>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8985"/>
      </w:tblGrid>
      <w:tr w:rsidR="00F25E58" w14:paraId="44460CFA" w14:textId="77777777">
        <w:trPr>
          <w:jc w:val="center"/>
        </w:trPr>
        <w:tc>
          <w:tcPr>
            <w:tcW w:w="375" w:type="dxa"/>
            <w:shd w:val="clear" w:color="auto" w:fill="346094"/>
          </w:tcPr>
          <w:p w14:paraId="09A81D32" w14:textId="77777777" w:rsidR="00F25E58" w:rsidRDefault="0098493D">
            <w:pPr>
              <w:pStyle w:val="IconSpace"/>
              <w:keepNext/>
            </w:pPr>
            <w:r>
              <w:rPr>
                <w:noProof/>
              </w:rPr>
              <w:drawing>
                <wp:inline distT="0" distB="0" distL="0" distR="0" wp14:anchorId="5B49E780" wp14:editId="3D430ED7">
                  <wp:extent cx="225425" cy="225425"/>
                  <wp:effectExtent l="0" t="0" r="3175" b="317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5" w:type="dxa"/>
            <w:shd w:val="clear" w:color="auto" w:fill="7F7F7F" w:themeFill="text1" w:themeFillTint="80"/>
          </w:tcPr>
          <w:p w14:paraId="1174AE0E" w14:textId="77777777" w:rsidR="00F25E58" w:rsidRDefault="0098493D">
            <w:pPr>
              <w:pStyle w:val="TableSubheading"/>
              <w:keepNext/>
            </w:pPr>
            <w:r>
              <w:t>II. D. Assessments Based on Alternate Academic Achievement Standards</w:t>
            </w:r>
          </w:p>
        </w:tc>
      </w:tr>
      <w:tr w:rsidR="00F25E58" w14:paraId="4411A922" w14:textId="77777777">
        <w:trPr>
          <w:trHeight w:val="3996"/>
          <w:jc w:val="center"/>
        </w:trPr>
        <w:tc>
          <w:tcPr>
            <w:tcW w:w="9360" w:type="dxa"/>
            <w:gridSpan w:val="2"/>
          </w:tcPr>
          <w:p w14:paraId="4E6CAE02" w14:textId="77777777" w:rsidR="00F25E58" w:rsidRDefault="0098493D">
            <w:pPr>
              <w:pStyle w:val="TableText"/>
              <w:rPr>
                <w:spacing w:val="-2"/>
              </w:rPr>
            </w:pPr>
            <w:r>
              <w:rPr>
                <w:spacing w:val="-2"/>
              </w:rPr>
              <w:t xml:space="preserve">A state may provide for alternate assessments in mathematics, reading/ELA, and/or science, aligned with the challenging state academic standards and alternate academic achievement standards </w:t>
            </w:r>
            <w:r w:rsidRPr="00144F0B">
              <w:rPr>
                <w:spacing w:val="-2"/>
              </w:rPr>
              <w:t>for students</w:t>
            </w:r>
            <w:r>
              <w:rPr>
                <w:spacing w:val="-2"/>
              </w:rPr>
              <w:t xml:space="preserve"> with the most significant cognitive disabilities.</w:t>
            </w:r>
          </w:p>
          <w:p w14:paraId="3A5C5EBD" w14:textId="77777777" w:rsidR="00F25E58" w:rsidRDefault="0098493D">
            <w:pPr>
              <w:pStyle w:val="TableText6above"/>
              <w:spacing w:line="270" w:lineRule="exact"/>
            </w:pPr>
            <w:r>
              <w:t xml:space="preserve">With regard to these assessments, the state must: </w:t>
            </w:r>
          </w:p>
          <w:p w14:paraId="04AB549A" w14:textId="77777777" w:rsidR="00F25E58" w:rsidRDefault="0098493D">
            <w:pPr>
              <w:pStyle w:val="TableBulletTight"/>
            </w:pPr>
            <w:r>
              <w:t>Ensure that for each subject the total number of students assessed using an alternate assessment does not exceed 1% of all participating students in the state for that subject, unless the state has been approved to waive this requirement (individual districts, however, may provide an alternate assessment to more than 1% of students in a given subject);</w:t>
            </w:r>
          </w:p>
          <w:p w14:paraId="3BD9468D" w14:textId="77777777" w:rsidR="00F25E58" w:rsidRDefault="0098493D">
            <w:pPr>
              <w:pStyle w:val="TableBulletTight"/>
              <w:rPr>
                <w:spacing w:val="-2"/>
              </w:rPr>
            </w:pPr>
            <w:r>
              <w:rPr>
                <w:spacing w:val="-2"/>
              </w:rPr>
              <w:t>Ensure that parents of students being administered an alternate assessment are informed that such assessment is occurring and how this impacts completion of regular high school diploma requirements;</w:t>
            </w:r>
          </w:p>
          <w:p w14:paraId="19746851" w14:textId="77777777" w:rsidR="00F25E58" w:rsidRDefault="0098493D">
            <w:pPr>
              <w:pStyle w:val="TableBulletTight"/>
            </w:pPr>
            <w:r>
              <w:t>Promote the involvement and progress of these students in the general education curriculum;</w:t>
            </w:r>
          </w:p>
          <w:p w14:paraId="21D29DC8" w14:textId="77777777" w:rsidR="00F25E58" w:rsidRDefault="0098493D">
            <w:pPr>
              <w:pStyle w:val="TableBulletTight"/>
            </w:pPr>
            <w:r>
              <w:t>Describe how the state has incorporated universal design for learning (UDL) principles to the extent feasible in its alternate assessments;</w:t>
            </w:r>
          </w:p>
          <w:p w14:paraId="27FBB788" w14:textId="77777777" w:rsidR="00F25E58" w:rsidRDefault="0098493D">
            <w:pPr>
              <w:pStyle w:val="TableBulletTight"/>
            </w:pPr>
            <w:r>
              <w:t>Describe how staff know how to administer the assessments, which includes providing appropriate accommodations when needed;</w:t>
            </w:r>
          </w:p>
          <w:p w14:paraId="7EBCA6E2" w14:textId="77777777" w:rsidR="00F25E58" w:rsidRDefault="0098493D">
            <w:pPr>
              <w:pStyle w:val="TableBulletTight"/>
            </w:pPr>
            <w:r>
              <w:t>Promote and disseminate information to increase the number of students with significant cognitive disabilities who participate in grade-level academic standards, instruction, and assessments; and</w:t>
            </w:r>
          </w:p>
          <w:p w14:paraId="265B1B12" w14:textId="77777777" w:rsidR="00F25E58" w:rsidRDefault="0098493D">
            <w:pPr>
              <w:pStyle w:val="TableBulletTight"/>
            </w:pPr>
            <w:r>
              <w:t>Not prevent a student who takes the alternate assessment from attempting to complete regular high school diploma requirements.</w:t>
            </w:r>
          </w:p>
          <w:p w14:paraId="102A5BD5" w14:textId="77777777" w:rsidR="00F25E58" w:rsidRDefault="0098493D">
            <w:pPr>
              <w:pStyle w:val="TableText6above"/>
              <w:spacing w:after="180"/>
            </w:pPr>
            <w:r>
              <w:t>Sec. 1111(b)(2)(D)</w:t>
            </w:r>
          </w:p>
        </w:tc>
      </w:tr>
      <w:tr w:rsidR="00F25E58" w14:paraId="3A11FC41" w14:textId="77777777">
        <w:trPr>
          <w:jc w:val="center"/>
        </w:trPr>
        <w:tc>
          <w:tcPr>
            <w:tcW w:w="375" w:type="dxa"/>
            <w:shd w:val="clear" w:color="auto" w:fill="346094"/>
            <w:vAlign w:val="center"/>
          </w:tcPr>
          <w:p w14:paraId="74926460" w14:textId="77777777" w:rsidR="00F25E58" w:rsidRDefault="0098493D">
            <w:pPr>
              <w:pStyle w:val="IconSpace"/>
            </w:pPr>
            <w:r>
              <w:rPr>
                <w:noProof/>
              </w:rPr>
              <w:drawing>
                <wp:inline distT="0" distB="0" distL="0" distR="0" wp14:anchorId="509D12D0" wp14:editId="34E7A50F">
                  <wp:extent cx="231775" cy="23177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5" w:type="dxa"/>
            <w:shd w:val="clear" w:color="auto" w:fill="D1DEEF" w:themeFill="accent1" w:themeFillTint="33"/>
            <w:vAlign w:val="center"/>
          </w:tcPr>
          <w:p w14:paraId="2F21ADB6"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78F025F3" w14:textId="77777777">
        <w:trPr>
          <w:trHeight w:val="333"/>
          <w:jc w:val="center"/>
        </w:trPr>
        <w:tc>
          <w:tcPr>
            <w:tcW w:w="9360" w:type="dxa"/>
            <w:gridSpan w:val="2"/>
            <w:shd w:val="clear" w:color="auto" w:fill="F2F2F2" w:themeFill="background1" w:themeFillShade="F2"/>
          </w:tcPr>
          <w:p w14:paraId="5F071AFC" w14:textId="77777777" w:rsidR="00F25E58" w:rsidRDefault="0098493D">
            <w:pPr>
              <w:pStyle w:val="TableText"/>
              <w:spacing w:line="260" w:lineRule="exact"/>
              <w:rPr>
                <w:spacing w:val="-4"/>
              </w:rPr>
            </w:pPr>
            <w:r w:rsidRPr="00E61A75">
              <w:rPr>
                <w:spacing w:val="-2"/>
              </w:rPr>
              <w:t>ESSA codifies in ESEA statute provisions that were originally established under NCLB by nonregulatory</w:t>
            </w:r>
            <w:r>
              <w:rPr>
                <w:spacing w:val="-4"/>
              </w:rPr>
              <w:t xml:space="preserve"> guidance on </w:t>
            </w:r>
            <w:hyperlink r:id="rId26" w:history="1">
              <w:r>
                <w:rPr>
                  <w:color w:val="0563C1"/>
                  <w:spacing w:val="-4"/>
                  <w:u w:val="single"/>
                </w:rPr>
                <w:t>Alternate Achievement Standards for Students With the Most Significant Cognitive Disabilities</w:t>
              </w:r>
            </w:hyperlink>
            <w:r>
              <w:rPr>
                <w:spacing w:val="-4"/>
              </w:rPr>
              <w:t>.</w:t>
            </w:r>
          </w:p>
          <w:p w14:paraId="2EA3196D" w14:textId="77777777" w:rsidR="00F25E58" w:rsidRPr="00E61A75" w:rsidRDefault="0098493D" w:rsidP="00942C17">
            <w:pPr>
              <w:pStyle w:val="ListBullet2"/>
              <w:numPr>
                <w:ilvl w:val="0"/>
                <w:numId w:val="0"/>
              </w:numPr>
            </w:pPr>
            <w:r w:rsidRPr="00E61A75">
              <w:t xml:space="preserve">The ESSA and NCLB provisions are similar. Under NCLB, states were permitted to administer alternate assessments to more than 1% of subject-specific participating students, but use, for accountability purposes, no more than 1% of students’ results. Now, under ESSA, the total number of students </w:t>
            </w:r>
            <w:r w:rsidRPr="00E61A75">
              <w:rPr>
                <w:i/>
              </w:rPr>
              <w:t>participating</w:t>
            </w:r>
            <w:r w:rsidRPr="00E61A75">
              <w:t xml:space="preserve"> in alternate assessments cannot exceed 1% of total participation for a given subject without a waiver. </w:t>
            </w:r>
          </w:p>
          <w:p w14:paraId="4213494F" w14:textId="77777777" w:rsidR="00F25E58" w:rsidRDefault="0098493D">
            <w:pPr>
              <w:pStyle w:val="TableText6above"/>
              <w:spacing w:after="120" w:line="260" w:lineRule="exact"/>
            </w:pPr>
            <w:r w:rsidRPr="00E61A75">
              <w:t>ESSA also adds the requirement to integrate UDL principles wherever possible.</w:t>
            </w:r>
            <w:r>
              <w:t xml:space="preserve"> </w:t>
            </w:r>
          </w:p>
        </w:tc>
      </w:tr>
      <w:tr w:rsidR="00F25E58" w14:paraId="2CB56F1E" w14:textId="77777777" w:rsidTr="000A7F34">
        <w:trPr>
          <w:trHeight w:val="95"/>
          <w:jc w:val="center"/>
        </w:trPr>
        <w:tc>
          <w:tcPr>
            <w:tcW w:w="9360" w:type="dxa"/>
            <w:gridSpan w:val="2"/>
            <w:shd w:val="clear" w:color="auto" w:fill="auto"/>
          </w:tcPr>
          <w:p w14:paraId="2FECDBB5" w14:textId="77777777" w:rsidR="00F25E58" w:rsidRDefault="00F25E58" w:rsidP="00A17E12">
            <w:pPr>
              <w:pStyle w:val="TableText"/>
            </w:pPr>
          </w:p>
        </w:tc>
      </w:tr>
      <w:tr w:rsidR="00F25E58" w14:paraId="5C5D21A0" w14:textId="77777777">
        <w:trPr>
          <w:jc w:val="center"/>
        </w:trPr>
        <w:tc>
          <w:tcPr>
            <w:tcW w:w="375" w:type="dxa"/>
            <w:shd w:val="clear" w:color="auto" w:fill="346094"/>
          </w:tcPr>
          <w:p w14:paraId="4774ACDC" w14:textId="77777777" w:rsidR="00F25E58" w:rsidRDefault="0098493D">
            <w:pPr>
              <w:pStyle w:val="IconSpace"/>
              <w:keepNext/>
            </w:pPr>
            <w:r>
              <w:rPr>
                <w:noProof/>
              </w:rPr>
              <w:drawing>
                <wp:inline distT="0" distB="0" distL="0" distR="0" wp14:anchorId="35B3EEB7" wp14:editId="52D9BA25">
                  <wp:extent cx="225425" cy="225425"/>
                  <wp:effectExtent l="0" t="0" r="3175" b="317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5" w:type="dxa"/>
            <w:shd w:val="clear" w:color="auto" w:fill="7F7F7F" w:themeFill="text1" w:themeFillTint="80"/>
          </w:tcPr>
          <w:p w14:paraId="62186164" w14:textId="77777777" w:rsidR="00F25E58" w:rsidRDefault="0098493D">
            <w:pPr>
              <w:pStyle w:val="TableSubheading"/>
              <w:keepNext/>
            </w:pPr>
            <w:r>
              <w:t>II. E. Eighth-Grade Mathematics Exception</w:t>
            </w:r>
          </w:p>
        </w:tc>
      </w:tr>
      <w:tr w:rsidR="00F25E58" w14:paraId="1D798C8A" w14:textId="77777777">
        <w:trPr>
          <w:trHeight w:val="1836"/>
          <w:jc w:val="center"/>
        </w:trPr>
        <w:tc>
          <w:tcPr>
            <w:tcW w:w="9360" w:type="dxa"/>
            <w:gridSpan w:val="2"/>
          </w:tcPr>
          <w:p w14:paraId="7BDFF154" w14:textId="77777777" w:rsidR="00F25E58" w:rsidRDefault="0098493D">
            <w:pPr>
              <w:pStyle w:val="TableText"/>
              <w:rPr>
                <w:spacing w:val="-2"/>
              </w:rPr>
            </w:pPr>
            <w:r>
              <w:rPr>
                <w:spacing w:val="-2"/>
              </w:rPr>
              <w:t xml:space="preserve">A state may exempt any eighth-grader from the typical grade-level statewide </w:t>
            </w:r>
            <w:r w:rsidRPr="00144F0B">
              <w:rPr>
                <w:spacing w:val="-2"/>
              </w:rPr>
              <w:t>mathematics assessment if</w:t>
            </w:r>
            <w:r>
              <w:rPr>
                <w:spacing w:val="-2"/>
              </w:rPr>
              <w:t>:</w:t>
            </w:r>
          </w:p>
          <w:p w14:paraId="593A2D88" w14:textId="77777777" w:rsidR="00F25E58" w:rsidRDefault="0098493D">
            <w:pPr>
              <w:pStyle w:val="TableBullet1"/>
            </w:pPr>
            <w:r>
              <w:t>The student takes the high school-level statewide assessment in eighth grade and the score is used for accountability purposes in that same year, and</w:t>
            </w:r>
          </w:p>
          <w:p w14:paraId="27F1AABA" w14:textId="77777777" w:rsidR="00F25E58" w:rsidRDefault="0098493D">
            <w:pPr>
              <w:pStyle w:val="TableBullet1"/>
              <w:rPr>
                <w:spacing w:val="-4"/>
              </w:rPr>
            </w:pPr>
            <w:r>
              <w:rPr>
                <w:spacing w:val="-4"/>
              </w:rPr>
              <w:t>In high school, that same student takes a higher level statewide mathematics test used for accountability purposes in that same year.</w:t>
            </w:r>
          </w:p>
          <w:p w14:paraId="7D2F5FC2" w14:textId="77777777" w:rsidR="00F25E58" w:rsidRDefault="0098493D" w:rsidP="0011473C">
            <w:pPr>
              <w:pStyle w:val="TableText6above"/>
              <w:spacing w:after="180"/>
            </w:pPr>
            <w:r>
              <w:t>Sec. 1111(b)(2)(C)</w:t>
            </w:r>
          </w:p>
        </w:tc>
      </w:tr>
      <w:tr w:rsidR="00F25E58" w14:paraId="48CF4927" w14:textId="77777777">
        <w:trPr>
          <w:jc w:val="center"/>
        </w:trPr>
        <w:tc>
          <w:tcPr>
            <w:tcW w:w="375" w:type="dxa"/>
            <w:shd w:val="clear" w:color="auto" w:fill="346094"/>
            <w:vAlign w:val="center"/>
          </w:tcPr>
          <w:p w14:paraId="5B1155BC" w14:textId="77777777" w:rsidR="00F25E58" w:rsidRDefault="0098493D">
            <w:pPr>
              <w:pStyle w:val="IconSpace"/>
            </w:pPr>
            <w:r>
              <w:rPr>
                <w:noProof/>
              </w:rPr>
              <w:drawing>
                <wp:inline distT="0" distB="0" distL="0" distR="0" wp14:anchorId="05C70B37" wp14:editId="4005F46D">
                  <wp:extent cx="231775" cy="23177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5" w:type="dxa"/>
            <w:shd w:val="clear" w:color="auto" w:fill="D1DEEF" w:themeFill="accent1" w:themeFillTint="33"/>
            <w:vAlign w:val="center"/>
          </w:tcPr>
          <w:p w14:paraId="4312F1B3"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610043DF" w14:textId="77777777">
        <w:trPr>
          <w:trHeight w:val="333"/>
          <w:jc w:val="center"/>
        </w:trPr>
        <w:tc>
          <w:tcPr>
            <w:tcW w:w="9360" w:type="dxa"/>
            <w:gridSpan w:val="2"/>
            <w:shd w:val="clear" w:color="auto" w:fill="F2F2F2" w:themeFill="background1" w:themeFillShade="F2"/>
          </w:tcPr>
          <w:p w14:paraId="533630F0" w14:textId="77777777" w:rsidR="00F25E58" w:rsidRDefault="0098493D">
            <w:pPr>
              <w:pStyle w:val="TableText"/>
            </w:pPr>
            <w:r>
              <w:t>This is a new provision of ESEA as amended by ESSA.</w:t>
            </w:r>
          </w:p>
        </w:tc>
      </w:tr>
      <w:tr w:rsidR="00F25E58" w14:paraId="34B67E37" w14:textId="77777777">
        <w:trPr>
          <w:trHeight w:val="234"/>
          <w:jc w:val="center"/>
        </w:trPr>
        <w:tc>
          <w:tcPr>
            <w:tcW w:w="9360" w:type="dxa"/>
            <w:gridSpan w:val="2"/>
          </w:tcPr>
          <w:p w14:paraId="6238B64C" w14:textId="77777777" w:rsidR="00F25E58" w:rsidRDefault="00F25E58">
            <w:pPr>
              <w:pStyle w:val="TableText"/>
              <w:spacing w:before="0" w:after="0"/>
            </w:pPr>
          </w:p>
        </w:tc>
      </w:tr>
      <w:tr w:rsidR="00F25E58" w14:paraId="13493AEF" w14:textId="77777777">
        <w:trPr>
          <w:jc w:val="center"/>
        </w:trPr>
        <w:tc>
          <w:tcPr>
            <w:tcW w:w="375" w:type="dxa"/>
            <w:shd w:val="clear" w:color="auto" w:fill="346094"/>
            <w:vAlign w:val="center"/>
          </w:tcPr>
          <w:p w14:paraId="5814E071" w14:textId="77777777" w:rsidR="00F25E58" w:rsidRDefault="0098493D">
            <w:pPr>
              <w:pStyle w:val="IconSpace"/>
            </w:pPr>
            <w:r>
              <w:rPr>
                <w:noProof/>
              </w:rPr>
              <w:lastRenderedPageBreak/>
              <w:drawing>
                <wp:inline distT="0" distB="0" distL="0" distR="0" wp14:anchorId="3F7EE352" wp14:editId="01E3A5F2">
                  <wp:extent cx="231775" cy="231775"/>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5" w:type="dxa"/>
            <w:shd w:val="clear" w:color="auto" w:fill="D1DEEF" w:themeFill="accent1" w:themeFillTint="33"/>
            <w:vAlign w:val="center"/>
          </w:tcPr>
          <w:p w14:paraId="33F32E70"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384AAE4B" w14:textId="77777777">
        <w:trPr>
          <w:trHeight w:val="639"/>
          <w:jc w:val="center"/>
        </w:trPr>
        <w:tc>
          <w:tcPr>
            <w:tcW w:w="9360" w:type="dxa"/>
            <w:gridSpan w:val="2"/>
            <w:shd w:val="clear" w:color="auto" w:fill="F2F2F2" w:themeFill="background1" w:themeFillShade="F2"/>
          </w:tcPr>
          <w:p w14:paraId="7B6697CC" w14:textId="77777777" w:rsidR="00F25E58" w:rsidRDefault="0098493D" w:rsidP="001B47CC">
            <w:pPr>
              <w:pStyle w:val="TableBullet1"/>
              <w:spacing w:line="240" w:lineRule="exact"/>
              <w:ind w:left="245" w:hanging="245"/>
              <w:rPr>
                <w:rStyle w:val="Hyperlink"/>
                <w:szCs w:val="20"/>
              </w:rPr>
            </w:pPr>
            <w:r>
              <w:fldChar w:fldCharType="begin"/>
            </w:r>
            <w:r>
              <w:instrText xml:space="preserve"> HYPERLINK "http://www.ecs.org/ec-content/uploads/State-and-Federal-Policy-for-Gifted-and-Talented-Youth.pdf" </w:instrText>
            </w:r>
            <w:r>
              <w:fldChar w:fldCharType="separate"/>
            </w:r>
            <w:r>
              <w:rPr>
                <w:rStyle w:val="Hyperlink"/>
                <w:szCs w:val="20"/>
              </w:rPr>
              <w:t>State and Federal Policy: Gifted and Talented Youth</w:t>
            </w:r>
            <w:r>
              <w:t xml:space="preserve"> (ECS, 2016)</w:t>
            </w:r>
          </w:p>
          <w:p w14:paraId="29DA570F" w14:textId="77777777" w:rsidR="00F25E58" w:rsidRDefault="0098493D" w:rsidP="001B47CC">
            <w:pPr>
              <w:pStyle w:val="TableBullet1"/>
              <w:spacing w:after="40" w:line="240" w:lineRule="exact"/>
              <w:ind w:left="245" w:hanging="245"/>
              <w:rPr>
                <w:rStyle w:val="Hyperlink"/>
              </w:rPr>
            </w:pPr>
            <w:r>
              <w:rPr>
                <w:szCs w:val="20"/>
              </w:rPr>
              <w:fldChar w:fldCharType="end"/>
            </w:r>
            <w:hyperlink r:id="rId27" w:history="1">
              <w:r>
                <w:rPr>
                  <w:rStyle w:val="Hyperlink"/>
                  <w:szCs w:val="20"/>
                </w:rPr>
                <w:t>High Stakes for High Achievers: State Accountability in the Age of ESSA</w:t>
              </w:r>
              <w:r>
                <w:t xml:space="preserve"> (Thomas B. Fordham Institute, 2016)</w:t>
              </w:r>
            </w:hyperlink>
          </w:p>
        </w:tc>
      </w:tr>
    </w:tbl>
    <w:p w14:paraId="240D56E7" w14:textId="77777777" w:rsidR="00F25E58" w:rsidRDefault="00F25E58">
      <w:pPr>
        <w:pStyle w:val="TableText"/>
        <w:spacing w:before="0" w:after="0"/>
        <w:rPr>
          <w:rFonts w:eastAsiaTheme="minorHAnsi"/>
          <w:sz w:val="18"/>
          <w:szCs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2FD7F798" w14:textId="77777777">
        <w:trPr>
          <w:jc w:val="center"/>
        </w:trPr>
        <w:tc>
          <w:tcPr>
            <w:tcW w:w="373" w:type="dxa"/>
            <w:shd w:val="clear" w:color="auto" w:fill="346094"/>
          </w:tcPr>
          <w:p w14:paraId="2ECBA5B9" w14:textId="77777777" w:rsidR="00F25E58" w:rsidRDefault="0098493D">
            <w:pPr>
              <w:pStyle w:val="IconSpace"/>
            </w:pPr>
            <w:r>
              <w:rPr>
                <w:noProof/>
              </w:rPr>
              <w:drawing>
                <wp:inline distT="0" distB="0" distL="0" distR="0" wp14:anchorId="1561F0A3" wp14:editId="695947C6">
                  <wp:extent cx="225425" cy="225425"/>
                  <wp:effectExtent l="0" t="0" r="3175" b="3175"/>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7" w:type="dxa"/>
            <w:shd w:val="clear" w:color="auto" w:fill="7F7F7F" w:themeFill="text1" w:themeFillTint="80"/>
          </w:tcPr>
          <w:p w14:paraId="55A180D3" w14:textId="77777777" w:rsidR="00F25E58" w:rsidRDefault="0098493D">
            <w:pPr>
              <w:pStyle w:val="TableSubheading"/>
            </w:pPr>
            <w:r>
              <w:t>II. F. Inclusion of Recently Arrived English Learners</w:t>
            </w:r>
          </w:p>
        </w:tc>
      </w:tr>
      <w:tr w:rsidR="00F25E58" w14:paraId="41A266C7" w14:textId="77777777">
        <w:trPr>
          <w:trHeight w:val="2898"/>
          <w:jc w:val="center"/>
        </w:trPr>
        <w:tc>
          <w:tcPr>
            <w:tcW w:w="9360" w:type="dxa"/>
            <w:gridSpan w:val="2"/>
          </w:tcPr>
          <w:p w14:paraId="0B424D00" w14:textId="57D0ECD3" w:rsidR="00F25E58" w:rsidRDefault="0098493D">
            <w:pPr>
              <w:spacing w:before="40" w:after="40" w:line="280" w:lineRule="exact"/>
              <w:rPr>
                <w:rFonts w:ascii="Arial" w:eastAsia="Calibri" w:hAnsi="Arial" w:cs="Arial"/>
                <w:i/>
                <w:iCs/>
                <w:sz w:val="20"/>
                <w:szCs w:val="20"/>
              </w:rPr>
            </w:pPr>
            <w:r>
              <w:rPr>
                <w:rFonts w:ascii="Arial" w:eastAsia="Calibri" w:hAnsi="Arial" w:cs="Arial"/>
                <w:sz w:val="20"/>
                <w:szCs w:val="20"/>
              </w:rPr>
              <w:t xml:space="preserve">For a student recently arrived to the United States and enrolled in any school(s) in any </w:t>
            </w:r>
            <w:r w:rsidRPr="00144F0B">
              <w:rPr>
                <w:rFonts w:ascii="Arial" w:eastAsia="Calibri" w:hAnsi="Arial" w:cs="Arial"/>
                <w:sz w:val="20"/>
                <w:szCs w:val="20"/>
              </w:rPr>
              <w:t>state for less</w:t>
            </w:r>
            <w:r>
              <w:rPr>
                <w:rFonts w:ascii="Arial" w:eastAsia="Calibri" w:hAnsi="Arial" w:cs="Arial"/>
                <w:sz w:val="20"/>
                <w:szCs w:val="20"/>
              </w:rPr>
              <w:t xml:space="preserve"> than 12 months, states may elect either to:</w:t>
            </w:r>
          </w:p>
          <w:p w14:paraId="0990B71F" w14:textId="77777777" w:rsidR="00F25E58" w:rsidRDefault="0098493D">
            <w:pPr>
              <w:pStyle w:val="TableBullet1"/>
            </w:pPr>
            <w:r>
              <w:t xml:space="preserve">Exclude the student from one administration of the reading/ELA assessment; then include the student’s results in the second year toward the school’s proficiency results, for accountability purposes; and include the student’s growth results starting in the third year; or </w:t>
            </w:r>
          </w:p>
          <w:p w14:paraId="0FCDC3A2" w14:textId="2C4874D4" w:rsidR="00F25E58" w:rsidRDefault="0098493D">
            <w:pPr>
              <w:pStyle w:val="TableBullet1"/>
            </w:pPr>
            <w:r>
              <w:t>Assess and report, but exclude for accountability purposes, the performance of the student in the first year of enrollment; include the student’s growth in the student’s second year of enrollment, for accountability purposes; and include proficiency starting in the third year of enrollment.</w:t>
            </w:r>
          </w:p>
          <w:p w14:paraId="63D6C723" w14:textId="77777777" w:rsidR="00F25E58" w:rsidRDefault="0098493D" w:rsidP="00DC779F">
            <w:pPr>
              <w:pStyle w:val="TableText6above"/>
              <w:spacing w:after="120" w:line="240" w:lineRule="exact"/>
            </w:pPr>
            <w:r>
              <w:t>Sec. 1111(b)(3)(A)</w:t>
            </w:r>
          </w:p>
        </w:tc>
      </w:tr>
      <w:tr w:rsidR="00F25E58" w14:paraId="3FFB9618" w14:textId="77777777">
        <w:trPr>
          <w:jc w:val="center"/>
        </w:trPr>
        <w:tc>
          <w:tcPr>
            <w:tcW w:w="373" w:type="dxa"/>
            <w:shd w:val="clear" w:color="auto" w:fill="346094"/>
            <w:vAlign w:val="center"/>
          </w:tcPr>
          <w:p w14:paraId="0E4DAAB3" w14:textId="77777777" w:rsidR="00F25E58" w:rsidRDefault="0098493D">
            <w:pPr>
              <w:pStyle w:val="IconSpace"/>
            </w:pPr>
            <w:r>
              <w:rPr>
                <w:noProof/>
              </w:rPr>
              <w:drawing>
                <wp:inline distT="0" distB="0" distL="0" distR="0" wp14:anchorId="21236E5E" wp14:editId="674DD427">
                  <wp:extent cx="231775" cy="23177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7" w:type="dxa"/>
            <w:shd w:val="clear" w:color="auto" w:fill="D1DEEF" w:themeFill="accent1" w:themeFillTint="33"/>
            <w:vAlign w:val="center"/>
          </w:tcPr>
          <w:p w14:paraId="549A56AA"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12D467C2" w14:textId="77777777">
        <w:trPr>
          <w:trHeight w:val="333"/>
          <w:jc w:val="center"/>
        </w:trPr>
        <w:tc>
          <w:tcPr>
            <w:tcW w:w="9360" w:type="dxa"/>
            <w:gridSpan w:val="2"/>
            <w:shd w:val="clear" w:color="auto" w:fill="F2F2F2" w:themeFill="background1" w:themeFillShade="F2"/>
          </w:tcPr>
          <w:p w14:paraId="31B9E47F" w14:textId="457C531E" w:rsidR="00F25E58" w:rsidRDefault="0098493D">
            <w:pPr>
              <w:pStyle w:val="TableText"/>
              <w:rPr>
                <w:i/>
                <w:iCs/>
              </w:rPr>
            </w:pPr>
            <w:r>
              <w:t xml:space="preserve">NCLB established the first option (to exclude students from the first year of testing) in nonregulatory guidance on </w:t>
            </w:r>
            <w:hyperlink r:id="rId28" w:history="1">
              <w:r>
                <w:rPr>
                  <w:rStyle w:val="Hyperlink"/>
                </w:rPr>
                <w:t>Assessment and Accountability for Recently Arrived and Former Limited English Proficient (LEP) Students</w:t>
              </w:r>
            </w:hyperlink>
            <w:r>
              <w:t>. ESSA adds the second option, to include students in assessment the first year and use their growth toward accountability in the second year.</w:t>
            </w:r>
          </w:p>
          <w:p w14:paraId="437FA471" w14:textId="40DF4712" w:rsidR="00F25E58" w:rsidRDefault="0098493D" w:rsidP="00DC779F">
            <w:pPr>
              <w:pStyle w:val="TableText6above"/>
              <w:rPr>
                <w:i/>
                <w:iCs/>
              </w:rPr>
            </w:pPr>
            <w:r>
              <w:t xml:space="preserve">ESSA also updates the definition of “English learners recently arrived” to those students who have been </w:t>
            </w:r>
            <w:r>
              <w:rPr>
                <w:i/>
              </w:rPr>
              <w:t xml:space="preserve">enrolled </w:t>
            </w:r>
            <w:r>
              <w:t xml:space="preserve">for less than 12 months, instead of those who have </w:t>
            </w:r>
            <w:r>
              <w:rPr>
                <w:i/>
              </w:rPr>
              <w:t>attended</w:t>
            </w:r>
            <w:r>
              <w:t xml:space="preserve"> school for less than 12 months as under NCLB.</w:t>
            </w:r>
          </w:p>
        </w:tc>
      </w:tr>
      <w:tr w:rsidR="00F25E58" w14:paraId="1F23CA0A" w14:textId="77777777">
        <w:trPr>
          <w:trHeight w:val="234"/>
          <w:jc w:val="center"/>
        </w:trPr>
        <w:tc>
          <w:tcPr>
            <w:tcW w:w="9360" w:type="dxa"/>
            <w:gridSpan w:val="2"/>
          </w:tcPr>
          <w:p w14:paraId="799D35BF" w14:textId="77777777" w:rsidR="00F25E58" w:rsidRDefault="00F25E58">
            <w:pPr>
              <w:pStyle w:val="TableText"/>
              <w:spacing w:before="0" w:after="0"/>
              <w:rPr>
                <w:sz w:val="18"/>
                <w:szCs w:val="18"/>
              </w:rPr>
            </w:pPr>
          </w:p>
        </w:tc>
      </w:tr>
      <w:tr w:rsidR="00F25E58" w14:paraId="259E1D4D" w14:textId="77777777">
        <w:trPr>
          <w:jc w:val="center"/>
        </w:trPr>
        <w:tc>
          <w:tcPr>
            <w:tcW w:w="373" w:type="dxa"/>
            <w:shd w:val="clear" w:color="auto" w:fill="346094"/>
            <w:vAlign w:val="center"/>
          </w:tcPr>
          <w:p w14:paraId="3B0A999B" w14:textId="77777777" w:rsidR="00F25E58" w:rsidRDefault="0098493D">
            <w:pPr>
              <w:pStyle w:val="IconSpace"/>
            </w:pPr>
            <w:r>
              <w:t xml:space="preserve"> </w:t>
            </w:r>
            <w:r>
              <w:rPr>
                <w:noProof/>
              </w:rPr>
              <w:drawing>
                <wp:inline distT="0" distB="0" distL="0" distR="0" wp14:anchorId="2FD0CB5D" wp14:editId="7816778A">
                  <wp:extent cx="237490" cy="23177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490" cy="231775"/>
                          </a:xfrm>
                          <a:prstGeom prst="rect">
                            <a:avLst/>
                          </a:prstGeom>
                          <a:noFill/>
                        </pic:spPr>
                      </pic:pic>
                    </a:graphicData>
                  </a:graphic>
                </wp:inline>
              </w:drawing>
            </w:r>
          </w:p>
        </w:tc>
        <w:tc>
          <w:tcPr>
            <w:tcW w:w="8987" w:type="dxa"/>
            <w:shd w:val="clear" w:color="auto" w:fill="D1DEEF" w:themeFill="accent1" w:themeFillTint="33"/>
            <w:vAlign w:val="center"/>
          </w:tcPr>
          <w:p w14:paraId="20B39D16"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7528C8B2" w14:textId="77777777">
        <w:trPr>
          <w:trHeight w:val="639"/>
          <w:jc w:val="center"/>
        </w:trPr>
        <w:tc>
          <w:tcPr>
            <w:tcW w:w="9360" w:type="dxa"/>
            <w:gridSpan w:val="2"/>
            <w:shd w:val="clear" w:color="auto" w:fill="F2F2F2" w:themeFill="background1" w:themeFillShade="F2"/>
          </w:tcPr>
          <w:p w14:paraId="3DD6D150" w14:textId="77777777" w:rsidR="00F25E58" w:rsidRDefault="001426BD">
            <w:pPr>
              <w:pStyle w:val="TableBullet1"/>
              <w:rPr>
                <w:rStyle w:val="Hyperlink"/>
                <w:rFonts w:eastAsia="Calibri"/>
                <w:szCs w:val="20"/>
                <w:u w:val="none"/>
              </w:rPr>
            </w:pPr>
            <w:hyperlink r:id="rId30" w:history="1">
              <w:r w:rsidR="0098493D">
                <w:rPr>
                  <w:rStyle w:val="Hyperlink"/>
                  <w:rFonts w:eastAsia="Calibri"/>
                  <w:szCs w:val="20"/>
                </w:rPr>
                <w:t xml:space="preserve">Next Generation State High School Assessment and Accountability: English Language Learners </w:t>
              </w:r>
              <w:r w:rsidR="0098493D">
                <w:t>(Achieve/The Education Trust, 2008)</w:t>
              </w:r>
            </w:hyperlink>
          </w:p>
        </w:tc>
      </w:tr>
      <w:tr w:rsidR="00F25E58" w14:paraId="296B6166" w14:textId="77777777" w:rsidTr="00A17E12">
        <w:trPr>
          <w:trHeight w:val="108"/>
          <w:jc w:val="center"/>
        </w:trPr>
        <w:tc>
          <w:tcPr>
            <w:tcW w:w="9360" w:type="dxa"/>
            <w:gridSpan w:val="2"/>
            <w:shd w:val="clear" w:color="auto" w:fill="auto"/>
          </w:tcPr>
          <w:p w14:paraId="38A83E50" w14:textId="77777777" w:rsidR="00F25E58" w:rsidRDefault="00F25E58">
            <w:pPr>
              <w:pStyle w:val="TableBullet1"/>
              <w:numPr>
                <w:ilvl w:val="0"/>
                <w:numId w:val="0"/>
              </w:numPr>
              <w:ind w:left="243"/>
            </w:pPr>
          </w:p>
        </w:tc>
      </w:tr>
      <w:tr w:rsidR="00F25E58" w14:paraId="32225047" w14:textId="77777777">
        <w:trPr>
          <w:jc w:val="center"/>
        </w:trPr>
        <w:tc>
          <w:tcPr>
            <w:tcW w:w="373" w:type="dxa"/>
            <w:shd w:val="clear" w:color="auto" w:fill="346094"/>
          </w:tcPr>
          <w:p w14:paraId="178453D5" w14:textId="77777777" w:rsidR="00F25E58" w:rsidRDefault="0098493D">
            <w:pPr>
              <w:pStyle w:val="IconSpace"/>
            </w:pPr>
            <w:r>
              <w:rPr>
                <w:noProof/>
              </w:rPr>
              <w:drawing>
                <wp:inline distT="0" distB="0" distL="0" distR="0" wp14:anchorId="10F4D149" wp14:editId="1B0DA394">
                  <wp:extent cx="225425" cy="225425"/>
                  <wp:effectExtent l="0" t="0" r="3175" b="317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7" w:type="dxa"/>
            <w:shd w:val="clear" w:color="auto" w:fill="7F7F7F" w:themeFill="text1" w:themeFillTint="80"/>
          </w:tcPr>
          <w:p w14:paraId="4A90DAAF" w14:textId="30218730" w:rsidR="00F25E58" w:rsidRDefault="0098493D">
            <w:pPr>
              <w:pStyle w:val="TableSubheading"/>
            </w:pPr>
            <w:r>
              <w:t>II. G. Inclusion of Exited English Learners</w:t>
            </w:r>
          </w:p>
        </w:tc>
      </w:tr>
      <w:tr w:rsidR="00F25E58" w14:paraId="6B969CBD" w14:textId="77777777" w:rsidTr="006D38CB">
        <w:trPr>
          <w:jc w:val="center"/>
        </w:trPr>
        <w:tc>
          <w:tcPr>
            <w:tcW w:w="9360" w:type="dxa"/>
            <w:gridSpan w:val="2"/>
          </w:tcPr>
          <w:p w14:paraId="696E926D" w14:textId="107C4BC0" w:rsidR="00F25E58" w:rsidRDefault="0098493D">
            <w:pPr>
              <w:pStyle w:val="TableText"/>
            </w:pPr>
            <w:r>
              <w:t>States may include the mathematics and reading/ELA results (but not science results) of students previously identified as ELs in the accountability results of the EL subgroup for up to 4 years after their exit from subgroup status.</w:t>
            </w:r>
          </w:p>
          <w:p w14:paraId="23AAD413" w14:textId="1A9C9051" w:rsidR="00F25E58" w:rsidRDefault="0098493D" w:rsidP="00DC779F">
            <w:pPr>
              <w:pStyle w:val="TableText6above"/>
              <w:spacing w:after="120" w:line="240" w:lineRule="exact"/>
            </w:pPr>
            <w:r>
              <w:t>Sec. 1111(b)(3)(B)</w:t>
            </w:r>
          </w:p>
        </w:tc>
      </w:tr>
      <w:tr w:rsidR="00F25E58" w14:paraId="3D0F66D3" w14:textId="77777777">
        <w:trPr>
          <w:jc w:val="center"/>
        </w:trPr>
        <w:tc>
          <w:tcPr>
            <w:tcW w:w="373" w:type="dxa"/>
            <w:shd w:val="clear" w:color="auto" w:fill="346094"/>
            <w:vAlign w:val="center"/>
          </w:tcPr>
          <w:p w14:paraId="0C07F593" w14:textId="77777777" w:rsidR="00F25E58" w:rsidRDefault="0098493D">
            <w:pPr>
              <w:pStyle w:val="IconSpace"/>
            </w:pPr>
            <w:r>
              <w:rPr>
                <w:noProof/>
              </w:rPr>
              <w:drawing>
                <wp:inline distT="0" distB="0" distL="0" distR="0" wp14:anchorId="7549383C" wp14:editId="14FF3CFA">
                  <wp:extent cx="231775" cy="23177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7" w:type="dxa"/>
            <w:shd w:val="clear" w:color="auto" w:fill="D1DEEF" w:themeFill="accent1" w:themeFillTint="33"/>
            <w:vAlign w:val="center"/>
          </w:tcPr>
          <w:p w14:paraId="2864C612"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79EA4A91" w14:textId="77777777">
        <w:trPr>
          <w:trHeight w:val="333"/>
          <w:jc w:val="center"/>
        </w:trPr>
        <w:tc>
          <w:tcPr>
            <w:tcW w:w="9360" w:type="dxa"/>
            <w:gridSpan w:val="2"/>
            <w:shd w:val="clear" w:color="auto" w:fill="F2F2F2" w:themeFill="background1" w:themeFillShade="F2"/>
          </w:tcPr>
          <w:p w14:paraId="12E86EAB" w14:textId="101EE79C" w:rsidR="00F25E58" w:rsidRDefault="0098493D">
            <w:pPr>
              <w:pStyle w:val="TableText"/>
              <w:rPr>
                <w:i/>
                <w:iCs/>
              </w:rPr>
            </w:pPr>
            <w:r>
              <w:t>ESSA increases the allowable number of years for continued inclusion in the EL subgroup accountability results from 2 years under NCLB to 4 years</w:t>
            </w:r>
            <w:r w:rsidRPr="00CB1A53">
              <w:rPr>
                <w:i/>
              </w:rPr>
              <w:t xml:space="preserve">. </w:t>
            </w:r>
          </w:p>
        </w:tc>
      </w:tr>
      <w:tr w:rsidR="00F25E58" w14:paraId="06D8ABA9" w14:textId="77777777">
        <w:trPr>
          <w:trHeight w:val="234"/>
          <w:jc w:val="center"/>
        </w:trPr>
        <w:tc>
          <w:tcPr>
            <w:tcW w:w="9360" w:type="dxa"/>
            <w:gridSpan w:val="2"/>
          </w:tcPr>
          <w:p w14:paraId="2C3BA293" w14:textId="77777777" w:rsidR="00F25E58" w:rsidRDefault="00F25E58">
            <w:pPr>
              <w:pStyle w:val="TableText"/>
            </w:pPr>
          </w:p>
        </w:tc>
      </w:tr>
      <w:tr w:rsidR="00F25E58" w14:paraId="58CA29A2" w14:textId="77777777">
        <w:trPr>
          <w:jc w:val="center"/>
        </w:trPr>
        <w:tc>
          <w:tcPr>
            <w:tcW w:w="373" w:type="dxa"/>
            <w:shd w:val="clear" w:color="auto" w:fill="346094"/>
            <w:vAlign w:val="center"/>
          </w:tcPr>
          <w:p w14:paraId="413E2618" w14:textId="77777777" w:rsidR="00F25E58" w:rsidRDefault="0098493D">
            <w:pPr>
              <w:pStyle w:val="IconSpace"/>
            </w:pPr>
            <w:r>
              <w:rPr>
                <w:noProof/>
              </w:rPr>
              <w:drawing>
                <wp:inline distT="0" distB="0" distL="0" distR="0" wp14:anchorId="1ED2FAF2" wp14:editId="1EF1CB44">
                  <wp:extent cx="231775" cy="23177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7" w:type="dxa"/>
            <w:shd w:val="clear" w:color="auto" w:fill="D1DEEF" w:themeFill="accent1" w:themeFillTint="33"/>
            <w:vAlign w:val="center"/>
          </w:tcPr>
          <w:p w14:paraId="08484D4D"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0C9078DE" w14:textId="77777777">
        <w:trPr>
          <w:trHeight w:val="702"/>
          <w:jc w:val="center"/>
        </w:trPr>
        <w:tc>
          <w:tcPr>
            <w:tcW w:w="9360" w:type="dxa"/>
            <w:gridSpan w:val="2"/>
            <w:shd w:val="clear" w:color="auto" w:fill="F2F2F2" w:themeFill="background1" w:themeFillShade="F2"/>
          </w:tcPr>
          <w:p w14:paraId="5EAC2190" w14:textId="77777777" w:rsidR="00F25E58" w:rsidRDefault="001426BD">
            <w:pPr>
              <w:pStyle w:val="TableBullet1"/>
              <w:rPr>
                <w:rStyle w:val="Hyperlink"/>
                <w:rFonts w:eastAsia="Calibri"/>
                <w:szCs w:val="20"/>
              </w:rPr>
            </w:pPr>
            <w:hyperlink r:id="rId31" w:history="1">
              <w:r w:rsidR="0098493D">
                <w:rPr>
                  <w:rStyle w:val="Hyperlink"/>
                  <w:rFonts w:eastAsia="Calibri"/>
                  <w:szCs w:val="20"/>
                </w:rPr>
                <w:t>Re-examining Reclassification: Guidance From a National Working Session on Policies and Practices for Exiting Students From English Language Learner Status</w:t>
              </w:r>
              <w:r w:rsidR="0098493D">
                <w:t xml:space="preserve"> (CCSSO, 2015)</w:t>
              </w:r>
            </w:hyperlink>
          </w:p>
        </w:tc>
      </w:tr>
    </w:tbl>
    <w:p w14:paraId="5BC32B7C" w14:textId="77777777" w:rsidR="00F25E58" w:rsidRPr="001426BD" w:rsidRDefault="00F25E58" w:rsidP="00236C8A">
      <w:pPr>
        <w:pStyle w:val="TableTextTight"/>
        <w:rPr>
          <w:sz w:val="6"/>
          <w:szCs w:val="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
        <w:gridCol w:w="13"/>
        <w:gridCol w:w="8954"/>
      </w:tblGrid>
      <w:tr w:rsidR="00F25E58" w14:paraId="5AB26F10" w14:textId="77777777">
        <w:trPr>
          <w:trHeight w:val="432"/>
          <w:jc w:val="center"/>
        </w:trPr>
        <w:tc>
          <w:tcPr>
            <w:tcW w:w="8352" w:type="dxa"/>
            <w:gridSpan w:val="3"/>
            <w:shd w:val="clear" w:color="auto" w:fill="346094" w:themeFill="accent1"/>
          </w:tcPr>
          <w:p w14:paraId="69682077" w14:textId="77777777" w:rsidR="00F25E58" w:rsidRDefault="0098493D">
            <w:pPr>
              <w:pStyle w:val="TableHead"/>
            </w:pPr>
            <w:r>
              <w:rPr>
                <w:bCs w:val="0"/>
              </w:rPr>
              <w:t>III.</w:t>
            </w:r>
            <w:r>
              <w:t xml:space="preserve"> ACCOUNTABILITY INDICATORS AND DETERMINATIONS</w:t>
            </w:r>
          </w:p>
        </w:tc>
      </w:tr>
      <w:tr w:rsidR="00F25E58" w14:paraId="6D8E9D88" w14:textId="77777777">
        <w:trPr>
          <w:jc w:val="center"/>
        </w:trPr>
        <w:tc>
          <w:tcPr>
            <w:tcW w:w="350" w:type="dxa"/>
            <w:shd w:val="clear" w:color="auto" w:fill="346094"/>
          </w:tcPr>
          <w:p w14:paraId="0A5B9FFE" w14:textId="77777777" w:rsidR="00F25E58" w:rsidRDefault="0098493D">
            <w:pPr>
              <w:pStyle w:val="IconSpace"/>
            </w:pPr>
            <w:r>
              <w:rPr>
                <w:noProof/>
              </w:rPr>
              <w:drawing>
                <wp:inline distT="0" distB="0" distL="0" distR="0" wp14:anchorId="3D0FAFC4" wp14:editId="1DD6D7A9">
                  <wp:extent cx="225425" cy="243840"/>
                  <wp:effectExtent l="0" t="0" r="3175" b="381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243840"/>
                          </a:xfrm>
                          <a:prstGeom prst="rect">
                            <a:avLst/>
                          </a:prstGeom>
                          <a:noFill/>
                        </pic:spPr>
                      </pic:pic>
                    </a:graphicData>
                  </a:graphic>
                </wp:inline>
              </w:drawing>
            </w:r>
          </w:p>
        </w:tc>
        <w:tc>
          <w:tcPr>
            <w:tcW w:w="8002" w:type="dxa"/>
            <w:gridSpan w:val="2"/>
            <w:shd w:val="clear" w:color="auto" w:fill="7F7F7F" w:themeFill="text1" w:themeFillTint="80"/>
          </w:tcPr>
          <w:p w14:paraId="78158B51" w14:textId="77777777" w:rsidR="00F25E58" w:rsidRDefault="0098493D">
            <w:pPr>
              <w:pStyle w:val="TableSubheading"/>
            </w:pPr>
            <w:r>
              <w:t xml:space="preserve">III. A. Subgroup Definition and </w:t>
            </w:r>
            <w:r>
              <w:rPr>
                <w:i/>
              </w:rPr>
              <w:t>N</w:t>
            </w:r>
            <w:r>
              <w:t>-Size</w:t>
            </w:r>
          </w:p>
        </w:tc>
      </w:tr>
      <w:tr w:rsidR="00F25E58" w14:paraId="29AFDFBB" w14:textId="77777777">
        <w:trPr>
          <w:trHeight w:val="450"/>
          <w:jc w:val="center"/>
        </w:trPr>
        <w:tc>
          <w:tcPr>
            <w:tcW w:w="8352" w:type="dxa"/>
            <w:gridSpan w:val="3"/>
          </w:tcPr>
          <w:p w14:paraId="133E5508" w14:textId="77777777" w:rsidR="00F25E58" w:rsidRPr="001B47CC" w:rsidRDefault="0098493D" w:rsidP="001B47CC">
            <w:pPr>
              <w:pStyle w:val="TableText"/>
              <w:spacing w:before="80" w:line="220" w:lineRule="exact"/>
            </w:pPr>
            <w:r>
              <w:rPr>
                <w:spacing w:val="-4"/>
              </w:rPr>
              <w:t>F</w:t>
            </w:r>
            <w:r w:rsidRPr="001B47CC">
              <w:t>or all accountability provisions under Sec. 1111(c) that require disaggregation of information by student subgroup, including accountability calculations and reporting purposes, each state must describe:</w:t>
            </w:r>
          </w:p>
          <w:p w14:paraId="5950D9AA" w14:textId="6EEEBD7B" w:rsidR="00F25E58" w:rsidRDefault="0098493D" w:rsidP="001B47CC">
            <w:pPr>
              <w:pStyle w:val="TableBullet1"/>
              <w:spacing w:before="40" w:after="40" w:line="220" w:lineRule="exact"/>
              <w:ind w:left="245" w:hanging="245"/>
            </w:pPr>
            <w:r>
              <w:t>A minimum number of students necessary to carry out such requirement that is statistically sound and is the same number for all students and for each subgroup;</w:t>
            </w:r>
          </w:p>
          <w:p w14:paraId="0DBB2CB9" w14:textId="77777777" w:rsidR="00F25E58" w:rsidRDefault="0098493D" w:rsidP="001B47CC">
            <w:pPr>
              <w:pStyle w:val="TableBullet1"/>
              <w:spacing w:before="40" w:after="40" w:line="220" w:lineRule="exact"/>
              <w:ind w:left="245" w:hanging="245"/>
            </w:pPr>
            <w:r>
              <w:t>How it collaborated with teachers, principals, and other school leaders, and with parents and other stakeholders in determining this number; and</w:t>
            </w:r>
          </w:p>
          <w:p w14:paraId="1394C2C1" w14:textId="77777777" w:rsidR="00236C8A" w:rsidRDefault="0098493D" w:rsidP="001B47CC">
            <w:pPr>
              <w:pStyle w:val="TableBullet1"/>
              <w:spacing w:before="40" w:after="40" w:line="220" w:lineRule="exact"/>
              <w:ind w:left="245" w:hanging="245"/>
              <w:rPr>
                <w:spacing w:val="-2"/>
              </w:rPr>
            </w:pPr>
            <w:r>
              <w:rPr>
                <w:spacing w:val="-2"/>
              </w:rPr>
              <w:t xml:space="preserve">How it ensures that this minimum </w:t>
            </w:r>
            <w:r w:rsidR="005B7DE2">
              <w:rPr>
                <w:spacing w:val="-2"/>
              </w:rPr>
              <w:t xml:space="preserve">number </w:t>
            </w:r>
            <w:r>
              <w:rPr>
                <w:spacing w:val="-2"/>
              </w:rPr>
              <w:t xml:space="preserve">is sufficient to avoid revealing any personally identifiable information. </w:t>
            </w:r>
          </w:p>
          <w:p w14:paraId="60AF6024" w14:textId="4D003430" w:rsidR="00F25E58" w:rsidRDefault="0098493D" w:rsidP="001B47CC">
            <w:pPr>
              <w:pStyle w:val="TableText"/>
              <w:spacing w:line="220" w:lineRule="exact"/>
              <w:rPr>
                <w:spacing w:val="-2"/>
              </w:rPr>
            </w:pPr>
            <w:r>
              <w:t>“Subgroups,” for all purposes described in ESSA unless otherwise noted, is defined to include all of the following categories of students:</w:t>
            </w:r>
          </w:p>
          <w:p w14:paraId="430821FD" w14:textId="77777777" w:rsidR="00F25E58" w:rsidRDefault="0098493D" w:rsidP="001B47CC">
            <w:pPr>
              <w:pStyle w:val="TableBullet1"/>
              <w:spacing w:before="40" w:after="40" w:line="220" w:lineRule="exact"/>
            </w:pPr>
            <w:r>
              <w:t>Economically disadvantaged students;</w:t>
            </w:r>
          </w:p>
          <w:p w14:paraId="2A0CC9BE" w14:textId="77777777" w:rsidR="00F25E58" w:rsidRDefault="0098493D" w:rsidP="001B47CC">
            <w:pPr>
              <w:pStyle w:val="TableBullet1"/>
              <w:spacing w:before="40" w:after="40" w:line="220" w:lineRule="exact"/>
            </w:pPr>
            <w:r>
              <w:t>Students with disabilities;</w:t>
            </w:r>
          </w:p>
          <w:p w14:paraId="47A447E7" w14:textId="77777777" w:rsidR="00F25E58" w:rsidRDefault="0098493D" w:rsidP="001B47CC">
            <w:pPr>
              <w:pStyle w:val="TableBullet1"/>
              <w:spacing w:before="40" w:after="40" w:line="220" w:lineRule="exact"/>
            </w:pPr>
            <w:r>
              <w:t>ELs; and</w:t>
            </w:r>
          </w:p>
          <w:p w14:paraId="04674682" w14:textId="77777777" w:rsidR="00F25E58" w:rsidRDefault="0098493D" w:rsidP="001B47CC">
            <w:pPr>
              <w:pStyle w:val="TableBullet1"/>
              <w:spacing w:before="40" w:after="40" w:line="220" w:lineRule="exact"/>
            </w:pPr>
            <w:r>
              <w:t>Students from each major racial or ethnic group (the Federal Register provides further guidance that these subgroups might include the following subgroups: American Indian or Alaskan Native, Asian, Black or African American, Hispanic/Latino, Native Hawaiian or Other Pacific Islander, White, and Two or more races [72 Fed. Reg. 59267]).</w:t>
            </w:r>
          </w:p>
          <w:p w14:paraId="090897B0" w14:textId="7AF2535A" w:rsidR="00F25E58" w:rsidRDefault="0098493D" w:rsidP="001B47CC">
            <w:pPr>
              <w:pStyle w:val="TableText6above"/>
              <w:spacing w:after="120" w:line="220" w:lineRule="exact"/>
            </w:pPr>
            <w:r>
              <w:t>Sec. 1111(c)(2)-(3)</w:t>
            </w:r>
          </w:p>
        </w:tc>
      </w:tr>
      <w:tr w:rsidR="00F25E58" w14:paraId="0BD04BEF" w14:textId="77777777">
        <w:trPr>
          <w:jc w:val="center"/>
        </w:trPr>
        <w:tc>
          <w:tcPr>
            <w:tcW w:w="362" w:type="dxa"/>
            <w:gridSpan w:val="2"/>
            <w:shd w:val="clear" w:color="auto" w:fill="346094"/>
            <w:vAlign w:val="center"/>
          </w:tcPr>
          <w:p w14:paraId="5B26C387" w14:textId="77777777" w:rsidR="00F25E58" w:rsidRDefault="0098493D">
            <w:pPr>
              <w:pStyle w:val="IconSpace"/>
            </w:pPr>
            <w:r>
              <w:rPr>
                <w:noProof/>
              </w:rPr>
              <w:drawing>
                <wp:inline distT="0" distB="0" distL="0" distR="0" wp14:anchorId="561C1F9F" wp14:editId="0FF5FD91">
                  <wp:extent cx="231775" cy="23177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7990" w:type="dxa"/>
            <w:shd w:val="clear" w:color="auto" w:fill="D1DEEF" w:themeFill="accent1" w:themeFillTint="33"/>
            <w:vAlign w:val="center"/>
          </w:tcPr>
          <w:p w14:paraId="7927ED87" w14:textId="77777777" w:rsidR="00F25E58" w:rsidRDefault="0098493D">
            <w:pPr>
              <w:pStyle w:val="TableText"/>
              <w:keepNext/>
              <w:rPr>
                <w:b/>
              </w:rPr>
            </w:pPr>
            <w:r>
              <w:rPr>
                <w:b/>
              </w:rPr>
              <w:t>Shifts From NCLB</w:t>
            </w:r>
          </w:p>
        </w:tc>
      </w:tr>
      <w:tr w:rsidR="00F25E58" w14:paraId="48E65253" w14:textId="77777777">
        <w:trPr>
          <w:trHeight w:val="333"/>
          <w:jc w:val="center"/>
        </w:trPr>
        <w:tc>
          <w:tcPr>
            <w:tcW w:w="8352" w:type="dxa"/>
            <w:gridSpan w:val="3"/>
            <w:shd w:val="clear" w:color="auto" w:fill="F2F2F2" w:themeFill="background1" w:themeFillShade="F2"/>
          </w:tcPr>
          <w:p w14:paraId="50FDB4EA" w14:textId="49C77202" w:rsidR="00F25E58" w:rsidRDefault="0098493D" w:rsidP="001B47CC">
            <w:pPr>
              <w:pStyle w:val="TableText"/>
              <w:spacing w:before="120" w:after="20" w:line="240" w:lineRule="exact"/>
            </w:pPr>
            <w:r>
              <w:t xml:space="preserve">Under NCLB, states were required to determine and justify a statistically sound </w:t>
            </w:r>
            <w:r>
              <w:rPr>
                <w:i/>
              </w:rPr>
              <w:t>N</w:t>
            </w:r>
            <w:r>
              <w:t xml:space="preserve">-size that protected privacy. </w:t>
            </w:r>
            <w:r w:rsidRPr="00500AA5">
              <w:t>ESSA adds the requirements that</w:t>
            </w:r>
            <w:r w:rsidRPr="00F66830">
              <w:rPr>
                <w:i/>
              </w:rPr>
              <w:t xml:space="preserve"> </w:t>
            </w:r>
            <w:r>
              <w:t xml:space="preserve">stakeholders collaborate to make this determination. </w:t>
            </w:r>
          </w:p>
          <w:p w14:paraId="30124B7A" w14:textId="4D8D7625" w:rsidR="00F25E58" w:rsidRDefault="0098493D" w:rsidP="001B47CC">
            <w:pPr>
              <w:pStyle w:val="TableText"/>
              <w:spacing w:before="20" w:after="20" w:line="240" w:lineRule="exact"/>
            </w:pPr>
            <w:r>
              <w:t xml:space="preserve">Under ESEA flexibility, states were allowed to substitute data for individual disaggregated subgroups, for accountability purposes only, with a “super-group” that combined students from different subgroups. </w:t>
            </w:r>
            <w:r w:rsidR="0029543D">
              <w:t>Substituting data</w:t>
            </w:r>
            <w:r>
              <w:t xml:space="preserve"> in this manner for accountability or reporting purposes is prohibited under ESSA.</w:t>
            </w:r>
          </w:p>
        </w:tc>
      </w:tr>
      <w:tr w:rsidR="00F25E58" w:rsidRPr="000A7A90" w14:paraId="289334B7" w14:textId="77777777" w:rsidTr="000A7A90">
        <w:trPr>
          <w:trHeight w:val="95"/>
          <w:jc w:val="center"/>
        </w:trPr>
        <w:tc>
          <w:tcPr>
            <w:tcW w:w="8352" w:type="dxa"/>
            <w:gridSpan w:val="3"/>
          </w:tcPr>
          <w:p w14:paraId="46F10D2C" w14:textId="77777777" w:rsidR="00F25E58" w:rsidRPr="000A7A90" w:rsidRDefault="00F25E58" w:rsidP="000A7A90">
            <w:pPr>
              <w:pStyle w:val="TableText"/>
              <w:spacing w:before="0" w:after="0" w:line="240" w:lineRule="auto"/>
              <w:rPr>
                <w:sz w:val="16"/>
                <w:szCs w:val="16"/>
              </w:rPr>
            </w:pPr>
          </w:p>
        </w:tc>
      </w:tr>
      <w:tr w:rsidR="00F25E58" w14:paraId="7DC4447C" w14:textId="77777777">
        <w:trPr>
          <w:jc w:val="center"/>
        </w:trPr>
        <w:tc>
          <w:tcPr>
            <w:tcW w:w="362" w:type="dxa"/>
            <w:gridSpan w:val="2"/>
            <w:shd w:val="clear" w:color="auto" w:fill="346094"/>
            <w:vAlign w:val="center"/>
          </w:tcPr>
          <w:p w14:paraId="325A2141" w14:textId="77777777" w:rsidR="00F25E58" w:rsidRDefault="0098493D">
            <w:pPr>
              <w:pStyle w:val="IconSpace"/>
            </w:pPr>
            <w:r>
              <w:rPr>
                <w:noProof/>
              </w:rPr>
              <w:drawing>
                <wp:inline distT="0" distB="0" distL="0" distR="0" wp14:anchorId="6B0D5F3E" wp14:editId="7B0BB6DF">
                  <wp:extent cx="231775" cy="231775"/>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7990" w:type="dxa"/>
            <w:shd w:val="clear" w:color="auto" w:fill="D1DEEF" w:themeFill="accent1" w:themeFillTint="33"/>
            <w:vAlign w:val="center"/>
          </w:tcPr>
          <w:p w14:paraId="46BA8D1C" w14:textId="77777777" w:rsidR="00F25E58" w:rsidRDefault="0098493D">
            <w:pPr>
              <w:pStyle w:val="TableText"/>
              <w:rPr>
                <w:b/>
              </w:rPr>
            </w:pPr>
            <w:r>
              <w:rPr>
                <w:b/>
                <w:spacing w:val="-4"/>
              </w:rPr>
              <w:t>Additional Resources</w:t>
            </w:r>
          </w:p>
        </w:tc>
      </w:tr>
      <w:tr w:rsidR="00F25E58" w14:paraId="0F529B30" w14:textId="77777777">
        <w:trPr>
          <w:trHeight w:val="225"/>
          <w:jc w:val="center"/>
        </w:trPr>
        <w:tc>
          <w:tcPr>
            <w:tcW w:w="8352" w:type="dxa"/>
            <w:gridSpan w:val="3"/>
            <w:shd w:val="clear" w:color="auto" w:fill="F2F2F2" w:themeFill="background1" w:themeFillShade="F2"/>
          </w:tcPr>
          <w:p w14:paraId="6D8436AA" w14:textId="77777777" w:rsidR="00F25E58" w:rsidRDefault="0098493D" w:rsidP="001B47CC">
            <w:pPr>
              <w:pStyle w:val="TableBullet1"/>
              <w:spacing w:line="260" w:lineRule="exact"/>
              <w:ind w:left="245" w:hanging="245"/>
              <w:rPr>
                <w:rStyle w:val="Hyperlink"/>
              </w:rPr>
            </w:pPr>
            <w:r>
              <w:fldChar w:fldCharType="begin"/>
            </w:r>
            <w:r>
              <w:instrText xml:space="preserve"> HYPERLINK "http://all4ed.org/reports-factsheets/n-size/" </w:instrText>
            </w:r>
            <w:r>
              <w:fldChar w:fldCharType="separate"/>
            </w:r>
            <w:r>
              <w:rPr>
                <w:rStyle w:val="Hyperlink"/>
              </w:rPr>
              <w:t>Ensuring Equity in ESSA: The Role of N-Size in Subgroup Accountability</w:t>
            </w:r>
            <w:r>
              <w:t xml:space="preserve"> (Alliance for Excellent Education, 2016)</w:t>
            </w:r>
          </w:p>
          <w:p w14:paraId="04320E13" w14:textId="77777777" w:rsidR="00F25E58" w:rsidRDefault="0098493D" w:rsidP="001B47CC">
            <w:pPr>
              <w:pStyle w:val="TableBullet1"/>
              <w:spacing w:line="260" w:lineRule="exact"/>
              <w:ind w:left="245" w:hanging="245"/>
              <w:rPr>
                <w:rStyle w:val="Hyperlink"/>
                <w:color w:val="auto"/>
                <w:u w:val="none"/>
              </w:rPr>
            </w:pPr>
            <w:r>
              <w:fldChar w:fldCharType="end"/>
            </w:r>
            <w:hyperlink r:id="rId32" w:history="1">
              <w:r>
                <w:rPr>
                  <w:rStyle w:val="Hyperlink"/>
                  <w:rFonts w:eastAsia="Calibri"/>
                  <w:szCs w:val="20"/>
                </w:rPr>
                <w:t>Equity and ESSA: Leveraging Educational Opportunity Through the Every Student Succeeds Act</w:t>
              </w:r>
              <w:r>
                <w:rPr>
                  <w:rStyle w:val="Hyperlink"/>
                </w:rPr>
                <w:t xml:space="preserve"> </w:t>
              </w:r>
              <w:r>
                <w:t>(Learning Policy Institute, 2016)</w:t>
              </w:r>
            </w:hyperlink>
          </w:p>
        </w:tc>
      </w:tr>
    </w:tbl>
    <w:p w14:paraId="6F184153" w14:textId="77777777" w:rsidR="00F25E58" w:rsidRPr="000A7A90" w:rsidRDefault="00F25E58" w:rsidP="001B47CC">
      <w:pPr>
        <w:pStyle w:val="TableNarrowSpace"/>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7A720355" w14:textId="77777777">
        <w:trPr>
          <w:jc w:val="center"/>
        </w:trPr>
        <w:tc>
          <w:tcPr>
            <w:tcW w:w="378" w:type="dxa"/>
            <w:shd w:val="clear" w:color="auto" w:fill="346094"/>
          </w:tcPr>
          <w:p w14:paraId="108EF289" w14:textId="77777777" w:rsidR="00F25E58" w:rsidRDefault="0098493D">
            <w:pPr>
              <w:pStyle w:val="IconSpace"/>
              <w:keepNext/>
            </w:pPr>
            <w:r>
              <w:rPr>
                <w:noProof/>
              </w:rPr>
              <w:drawing>
                <wp:inline distT="0" distB="0" distL="0" distR="0" wp14:anchorId="0B7371D7" wp14:editId="66E2FD13">
                  <wp:extent cx="225425" cy="225425"/>
                  <wp:effectExtent l="0" t="0" r="3175" b="317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56FB1C1A" w14:textId="77777777" w:rsidR="00F25E58" w:rsidRDefault="0098493D">
            <w:pPr>
              <w:pStyle w:val="TableSubheading"/>
              <w:keepNext/>
            </w:pPr>
            <w:r>
              <w:t>III. B. Long-Term and Interim Goals</w:t>
            </w:r>
          </w:p>
        </w:tc>
      </w:tr>
      <w:tr w:rsidR="00F25E58" w14:paraId="3C8E6267" w14:textId="77777777" w:rsidTr="001B47CC">
        <w:trPr>
          <w:trHeight w:val="3141"/>
          <w:jc w:val="center"/>
        </w:trPr>
        <w:tc>
          <w:tcPr>
            <w:tcW w:w="9576" w:type="dxa"/>
            <w:gridSpan w:val="2"/>
          </w:tcPr>
          <w:p w14:paraId="02F6D7AF" w14:textId="77777777" w:rsidR="00F25E58" w:rsidRDefault="0098493D" w:rsidP="001B47CC">
            <w:pPr>
              <w:pStyle w:val="TableText"/>
              <w:spacing w:before="20" w:after="20" w:line="260" w:lineRule="exact"/>
            </w:pPr>
            <w:r>
              <w:t xml:space="preserve">States shall establish ambitious long-term goals that include measures of interim progress for all </w:t>
            </w:r>
            <w:r w:rsidRPr="00081A27">
              <w:t>students</w:t>
            </w:r>
            <w:r>
              <w:t xml:space="preserve"> and for all subgroups for:</w:t>
            </w:r>
          </w:p>
          <w:p w14:paraId="52BCF52B" w14:textId="1C054B39" w:rsidR="00F25E58" w:rsidRDefault="009C1478" w:rsidP="001B47CC">
            <w:pPr>
              <w:pStyle w:val="TableBulletTight"/>
              <w:spacing w:before="20" w:after="20" w:line="260" w:lineRule="exact"/>
            </w:pPr>
            <w:r>
              <w:t>P</w:t>
            </w:r>
            <w:r w:rsidR="0098493D">
              <w:t xml:space="preserve">roficiency on statewide assessments in mathematics and reading/ELA; </w:t>
            </w:r>
          </w:p>
          <w:p w14:paraId="36164CFD" w14:textId="77777777" w:rsidR="00F25E58" w:rsidRDefault="0098493D" w:rsidP="001B47CC">
            <w:pPr>
              <w:pStyle w:val="TableBulletTight"/>
              <w:spacing w:before="20" w:after="20" w:line="260" w:lineRule="exact"/>
            </w:pPr>
            <w:r>
              <w:t>Four-year adjusted cohort graduation rate; and</w:t>
            </w:r>
          </w:p>
          <w:p w14:paraId="109452A4" w14:textId="7A50ECA4" w:rsidR="00F25E58" w:rsidRPr="00F66830" w:rsidRDefault="0098493D" w:rsidP="001B47CC">
            <w:pPr>
              <w:pStyle w:val="TableBulletTight"/>
              <w:spacing w:before="20" w:after="20" w:line="260" w:lineRule="exact"/>
              <w:rPr>
                <w:i/>
              </w:rPr>
            </w:pPr>
            <w:r>
              <w:t>Percentage of ELs making progress toward ELP</w:t>
            </w:r>
            <w:r w:rsidR="009C1478">
              <w:t>.</w:t>
            </w:r>
          </w:p>
          <w:p w14:paraId="2533110E" w14:textId="2C7514F9" w:rsidR="00F25E58" w:rsidRDefault="0098493D" w:rsidP="001B47CC">
            <w:pPr>
              <w:pStyle w:val="TableText"/>
              <w:spacing w:before="20" w:after="20" w:line="260" w:lineRule="exact"/>
            </w:pPr>
            <w:r>
              <w:t xml:space="preserve">For proficiency and graduation rate goals, long-term goals must be the same multiyear length for all students. </w:t>
            </w:r>
            <w:r w:rsidR="006C7CBE">
              <w:t>S</w:t>
            </w:r>
            <w:r>
              <w:t>ubgroup target</w:t>
            </w:r>
            <w:r w:rsidR="006C7CBE">
              <w:t>s</w:t>
            </w:r>
            <w:r>
              <w:t xml:space="preserve"> must be set in a manner that takes into account the improvement necessary to make significant progress in closing statewide proficiency and graduation rate gaps</w:t>
            </w:r>
            <w:r w:rsidR="003373B2">
              <w:t>.</w:t>
            </w:r>
          </w:p>
          <w:p w14:paraId="332217C2" w14:textId="77777777" w:rsidR="00F25E58" w:rsidRDefault="0098493D" w:rsidP="001B47CC">
            <w:pPr>
              <w:pStyle w:val="TableText"/>
              <w:spacing w:before="20" w:after="20" w:line="260" w:lineRule="exact"/>
              <w:rPr>
                <w:i/>
                <w:iCs/>
              </w:rPr>
            </w:pPr>
            <w:r>
              <w:t>States may establish additional, distinct targets for extended-year graduation rates provided they are based on a more rigorous long-term goal than that set for the 4-year graduation rate.</w:t>
            </w:r>
          </w:p>
          <w:p w14:paraId="096D2E1A" w14:textId="3D1798A4" w:rsidR="00F25E58" w:rsidRDefault="0098493D" w:rsidP="001B47CC">
            <w:pPr>
              <w:pStyle w:val="TableText6above"/>
              <w:spacing w:after="120"/>
            </w:pPr>
            <w:r>
              <w:t>Sec. 1111(c)(4)(A)</w:t>
            </w:r>
          </w:p>
        </w:tc>
      </w:tr>
      <w:tr w:rsidR="00F25E58" w14:paraId="28A29AEE" w14:textId="77777777">
        <w:trPr>
          <w:jc w:val="center"/>
        </w:trPr>
        <w:tc>
          <w:tcPr>
            <w:tcW w:w="378" w:type="dxa"/>
            <w:shd w:val="clear" w:color="auto" w:fill="346094"/>
            <w:vAlign w:val="center"/>
          </w:tcPr>
          <w:p w14:paraId="3D61E3C8" w14:textId="77777777" w:rsidR="00F25E58" w:rsidRDefault="0098493D">
            <w:pPr>
              <w:pStyle w:val="IconSpace"/>
            </w:pPr>
            <w:r>
              <w:rPr>
                <w:noProof/>
              </w:rPr>
              <w:lastRenderedPageBreak/>
              <w:drawing>
                <wp:inline distT="0" distB="0" distL="0" distR="0" wp14:anchorId="2D13B60B" wp14:editId="683B8C4D">
                  <wp:extent cx="231775" cy="23177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6F6C4BBE"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4787A574" w14:textId="77777777">
        <w:trPr>
          <w:trHeight w:val="333"/>
          <w:jc w:val="center"/>
        </w:trPr>
        <w:tc>
          <w:tcPr>
            <w:tcW w:w="9576" w:type="dxa"/>
            <w:gridSpan w:val="2"/>
            <w:shd w:val="clear" w:color="auto" w:fill="F2F2F2" w:themeFill="background1" w:themeFillShade="F2"/>
          </w:tcPr>
          <w:p w14:paraId="011E6D50" w14:textId="77777777" w:rsidR="00F25E58" w:rsidRDefault="0098493D" w:rsidP="00081A27">
            <w:pPr>
              <w:pStyle w:val="TableText"/>
            </w:pPr>
            <w:r>
              <w:t xml:space="preserve">Under NCLB, states were required to set targets for proficiency, graduation rates, participation rates, and at least one other academic indicator. ESSA eliminates participation rates as an explicit target but effectively embeds a 95% target within the proficiency calculation (see section III.C.). ESSA eliminates targets for the other academic indicator and moves the ELP progress target from Title III to Title </w:t>
            </w:r>
            <w:proofErr w:type="gramStart"/>
            <w:r>
              <w:t>I</w:t>
            </w:r>
            <w:proofErr w:type="gramEnd"/>
            <w:r>
              <w:t>.</w:t>
            </w:r>
          </w:p>
          <w:p w14:paraId="0754492B" w14:textId="77777777" w:rsidR="00F25E58" w:rsidRDefault="0098493D" w:rsidP="00081A27">
            <w:pPr>
              <w:pStyle w:val="TableText"/>
            </w:pPr>
            <w:r>
              <w:t>NCLB required ambitious long-term proficiency targets of 100% by the year 2013–14 and intermediate targets that increased at least once every 3 years. ESSA requires that targets be ambitious but does not prescribe a timeline or a target-setting methodology for long-term or interim goals.</w:t>
            </w:r>
          </w:p>
        </w:tc>
      </w:tr>
      <w:tr w:rsidR="00F25E58" w14:paraId="5A402664" w14:textId="77777777">
        <w:trPr>
          <w:trHeight w:val="234"/>
          <w:jc w:val="center"/>
        </w:trPr>
        <w:tc>
          <w:tcPr>
            <w:tcW w:w="9576" w:type="dxa"/>
            <w:gridSpan w:val="2"/>
          </w:tcPr>
          <w:p w14:paraId="39E32646" w14:textId="77777777" w:rsidR="00F25E58" w:rsidRDefault="00F25E58" w:rsidP="001B47CC">
            <w:pPr>
              <w:pStyle w:val="TableText"/>
            </w:pPr>
          </w:p>
        </w:tc>
      </w:tr>
      <w:tr w:rsidR="00F25E58" w14:paraId="5BE390FD" w14:textId="77777777">
        <w:trPr>
          <w:jc w:val="center"/>
        </w:trPr>
        <w:tc>
          <w:tcPr>
            <w:tcW w:w="378" w:type="dxa"/>
            <w:shd w:val="clear" w:color="auto" w:fill="346094"/>
            <w:vAlign w:val="center"/>
          </w:tcPr>
          <w:p w14:paraId="6A0DB7CC" w14:textId="77777777" w:rsidR="00F25E58" w:rsidRDefault="0098493D" w:rsidP="00E61A75">
            <w:pPr>
              <w:pStyle w:val="IconSpace"/>
              <w:keepNext/>
            </w:pPr>
            <w:r>
              <w:rPr>
                <w:noProof/>
              </w:rPr>
              <w:drawing>
                <wp:inline distT="0" distB="0" distL="0" distR="0" wp14:anchorId="4F824AAD" wp14:editId="5477AD7B">
                  <wp:extent cx="231775" cy="23177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9198" w:type="dxa"/>
            <w:shd w:val="clear" w:color="auto" w:fill="D1DEEF" w:themeFill="accent1" w:themeFillTint="33"/>
            <w:vAlign w:val="center"/>
          </w:tcPr>
          <w:p w14:paraId="2B50F569" w14:textId="77777777" w:rsidR="00F25E58" w:rsidRDefault="0098493D" w:rsidP="00E61A75">
            <w:pPr>
              <w:keepNext/>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296EFE4D" w14:textId="77777777">
        <w:trPr>
          <w:trHeight w:val="1188"/>
          <w:jc w:val="center"/>
        </w:trPr>
        <w:tc>
          <w:tcPr>
            <w:tcW w:w="9576" w:type="dxa"/>
            <w:gridSpan w:val="2"/>
            <w:shd w:val="clear" w:color="auto" w:fill="F2F2F2" w:themeFill="background1" w:themeFillShade="F2"/>
          </w:tcPr>
          <w:p w14:paraId="443E1D91" w14:textId="77777777" w:rsidR="00F25E58" w:rsidRDefault="0098493D">
            <w:pPr>
              <w:pStyle w:val="TableBullet1"/>
              <w:rPr>
                <w:rStyle w:val="Hyperlink"/>
              </w:rPr>
            </w:pPr>
            <w:r>
              <w:rPr>
                <w:color w:val="0563C1"/>
              </w:rPr>
              <w:fldChar w:fldCharType="begin"/>
            </w:r>
            <w:r>
              <w:rPr>
                <w:color w:val="0563C1"/>
              </w:rPr>
              <w:instrText xml:space="preserve"> HYPERLINK "http://edtrust.org/wp-content/uploads/2013/10/Getting_It_Right.pdf" </w:instrText>
            </w:r>
            <w:r>
              <w:rPr>
                <w:color w:val="0563C1"/>
              </w:rPr>
              <w:fldChar w:fldCharType="separate"/>
            </w:r>
            <w:r>
              <w:rPr>
                <w:rStyle w:val="Hyperlink"/>
              </w:rPr>
              <w:t xml:space="preserve">Getting It Right: Crafting Federal Accountability for Higher Student Performance and a Stronger America </w:t>
            </w:r>
            <w:r>
              <w:t>(The Education Trust, 2011)</w:t>
            </w:r>
          </w:p>
          <w:p w14:paraId="1E010D7C" w14:textId="77777777" w:rsidR="00F25E58" w:rsidRDefault="0098493D">
            <w:pPr>
              <w:pStyle w:val="TableBullet1"/>
              <w:spacing w:after="40"/>
              <w:rPr>
                <w:rFonts w:eastAsiaTheme="minorHAnsi"/>
                <w:color w:val="auto"/>
              </w:rPr>
            </w:pPr>
            <w:r>
              <w:rPr>
                <w:color w:val="0563C1"/>
              </w:rPr>
              <w:fldChar w:fldCharType="end"/>
            </w:r>
            <w:hyperlink r:id="rId33" w:history="1">
              <w:r>
                <w:rPr>
                  <w:rStyle w:val="Hyperlink"/>
                  <w:szCs w:val="20"/>
                </w:rPr>
                <w:t>Issues in the Development of Annual Measurable Achievement Objectives (AMAOs) for WIDA Consortium States</w:t>
              </w:r>
              <w:r>
                <w:t xml:space="preserve"> (Cook, Boals, Wilmes, &amp; Santos, 2007)</w:t>
              </w:r>
            </w:hyperlink>
          </w:p>
        </w:tc>
      </w:tr>
    </w:tbl>
    <w:p w14:paraId="221EA8EA" w14:textId="77777777" w:rsidR="00F25E58" w:rsidRDefault="00F25E58" w:rsidP="001B47CC">
      <w:pPr>
        <w:pStyle w:val="TableText"/>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044D4A3C" w14:textId="77777777">
        <w:trPr>
          <w:jc w:val="center"/>
        </w:trPr>
        <w:tc>
          <w:tcPr>
            <w:tcW w:w="373" w:type="dxa"/>
            <w:shd w:val="clear" w:color="auto" w:fill="346094"/>
          </w:tcPr>
          <w:p w14:paraId="0D42E3CA" w14:textId="77777777" w:rsidR="00F25E58" w:rsidRDefault="0098493D">
            <w:pPr>
              <w:pStyle w:val="IconSpace"/>
              <w:keepNext/>
            </w:pPr>
            <w:r>
              <w:rPr>
                <w:noProof/>
              </w:rPr>
              <w:drawing>
                <wp:inline distT="0" distB="0" distL="0" distR="0" wp14:anchorId="72E757FD" wp14:editId="30276C3D">
                  <wp:extent cx="225425" cy="225425"/>
                  <wp:effectExtent l="0" t="0" r="3175" b="317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7" w:type="dxa"/>
            <w:shd w:val="clear" w:color="auto" w:fill="7F7F7F" w:themeFill="text1" w:themeFillTint="80"/>
          </w:tcPr>
          <w:p w14:paraId="5A297A7F" w14:textId="77777777" w:rsidR="00F25E58" w:rsidRDefault="0098493D">
            <w:pPr>
              <w:pStyle w:val="TableSubheading"/>
              <w:keepNext/>
            </w:pPr>
            <w:r>
              <w:t>III. C. Accountability Indicators</w:t>
            </w:r>
          </w:p>
        </w:tc>
      </w:tr>
      <w:tr w:rsidR="00F25E58" w14:paraId="1A3EB042" w14:textId="77777777">
        <w:trPr>
          <w:trHeight w:val="540"/>
          <w:jc w:val="center"/>
        </w:trPr>
        <w:tc>
          <w:tcPr>
            <w:tcW w:w="9360" w:type="dxa"/>
            <w:gridSpan w:val="2"/>
          </w:tcPr>
          <w:p w14:paraId="24258916" w14:textId="77777777" w:rsidR="00F25E58" w:rsidRDefault="0098493D">
            <w:pPr>
              <w:pStyle w:val="TableText"/>
              <w:spacing w:before="120" w:after="20" w:line="240" w:lineRule="auto"/>
              <w:rPr>
                <w:rFonts w:eastAsiaTheme="minorEastAsia" w:cs="Arial"/>
                <w:szCs w:val="24"/>
              </w:rPr>
            </w:pPr>
            <w:r>
              <w:t xml:space="preserve">The </w:t>
            </w:r>
            <w:r w:rsidRPr="0078118E">
              <w:t>statewide</w:t>
            </w:r>
            <w:r>
              <w:t xml:space="preserve"> accountability system must annually measure, for all students and for each subgroup in all public schools, the following indicators:</w:t>
            </w:r>
          </w:p>
          <w:p w14:paraId="4F08C7B0" w14:textId="17F717CF" w:rsidR="00F25E58" w:rsidRDefault="00756041">
            <w:pPr>
              <w:pStyle w:val="TableBulletTight"/>
              <w:spacing w:after="20" w:line="240" w:lineRule="auto"/>
            </w:pPr>
            <w:r>
              <w:t>Proficiency</w:t>
            </w:r>
            <w:r w:rsidR="0098493D">
              <w:t xml:space="preserve"> in mathematics and reading/ELA on statewide tests</w:t>
            </w:r>
            <w:r>
              <w:t xml:space="preserve"> calculated by </w:t>
            </w:r>
            <w:r w:rsidR="0098493D">
              <w:t>includ</w:t>
            </w:r>
            <w:r>
              <w:t>ing</w:t>
            </w:r>
            <w:r w:rsidR="0098493D">
              <w:t xml:space="preserve"> in the denominator the greater of:</w:t>
            </w:r>
          </w:p>
          <w:p w14:paraId="1EE19BB5" w14:textId="77777777" w:rsidR="00F25E58" w:rsidRDefault="0098493D">
            <w:pPr>
              <w:pStyle w:val="TableBullet2"/>
              <w:spacing w:before="0" w:after="20" w:line="240" w:lineRule="auto"/>
            </w:pPr>
            <w:r>
              <w:t>The number of students participating in the assessments, or</w:t>
            </w:r>
          </w:p>
          <w:p w14:paraId="501F3064" w14:textId="77777777" w:rsidR="00F25E58" w:rsidRDefault="0098493D">
            <w:pPr>
              <w:pStyle w:val="TableBullet2"/>
              <w:spacing w:before="0" w:after="20" w:line="240" w:lineRule="auto"/>
            </w:pPr>
            <w:r>
              <w:t>Ninety-five percent of all students or students in a subgroup</w:t>
            </w:r>
            <w:r>
              <w:rPr>
                <w:rStyle w:val="CommentReference"/>
                <w:rFonts w:eastAsiaTheme="minorHAnsi" w:cstheme="minorBidi"/>
                <w:color w:val="auto"/>
              </w:rPr>
              <w:t>.</w:t>
            </w:r>
          </w:p>
          <w:p w14:paraId="57904AA9" w14:textId="77777777" w:rsidR="00F25E58" w:rsidRDefault="0098493D">
            <w:pPr>
              <w:pStyle w:val="TableBulletTight"/>
              <w:spacing w:after="20" w:line="240" w:lineRule="auto"/>
            </w:pPr>
            <w:r>
              <w:t>Four-year adjusted cohort graduation rate, with the option also to include an extended-year graduation rate (high schools);</w:t>
            </w:r>
          </w:p>
          <w:p w14:paraId="558D2988" w14:textId="77777777" w:rsidR="00F25E58" w:rsidRDefault="0098493D">
            <w:pPr>
              <w:pStyle w:val="TableBulletTight"/>
              <w:spacing w:after="20" w:line="240" w:lineRule="auto"/>
            </w:pPr>
            <w:r>
              <w:t>Student growth or another academic indicator (elementary and middle schools);</w:t>
            </w:r>
          </w:p>
          <w:p w14:paraId="237F3514" w14:textId="77777777" w:rsidR="00F25E58" w:rsidRDefault="0098493D">
            <w:pPr>
              <w:pStyle w:val="TableBulletTight"/>
              <w:spacing w:after="20" w:line="240" w:lineRule="auto"/>
            </w:pPr>
            <w:r>
              <w:t>Percentage of students making progress in attaining proficiency on statewide ELP assessment within a state-determined timeline, in each of Grades 3–8 and once in high school (measure for EL subgroup only);</w:t>
            </w:r>
          </w:p>
          <w:p w14:paraId="6223FE9B" w14:textId="77777777" w:rsidR="00F25E58" w:rsidRDefault="0098493D">
            <w:pPr>
              <w:pStyle w:val="TableBulletTight"/>
              <w:spacing w:after="20" w:line="240" w:lineRule="auto"/>
            </w:pPr>
            <w:r>
              <w:t>An additional indicator of school quality or student success that is valid and reliable, is comparable statewide (by grade span), and allows for meaningful differentiation in school performance, which may include:</w:t>
            </w:r>
          </w:p>
          <w:p w14:paraId="19EB5EF2" w14:textId="77777777" w:rsidR="00F25E58" w:rsidRDefault="0098493D">
            <w:pPr>
              <w:pStyle w:val="TableBullet2"/>
              <w:spacing w:before="0" w:after="20" w:line="240" w:lineRule="auto"/>
              <w:ind w:left="576" w:hanging="302"/>
            </w:pPr>
            <w:r>
              <w:t>Student engagement;</w:t>
            </w:r>
          </w:p>
          <w:p w14:paraId="75A62D32" w14:textId="77777777" w:rsidR="00F25E58" w:rsidRDefault="0098493D">
            <w:pPr>
              <w:pStyle w:val="TableBullet2"/>
              <w:spacing w:before="0" w:after="20" w:line="240" w:lineRule="auto"/>
              <w:ind w:left="576" w:hanging="302"/>
            </w:pPr>
            <w:r>
              <w:t>Educator engagement;</w:t>
            </w:r>
          </w:p>
          <w:p w14:paraId="0320DBB7" w14:textId="77777777" w:rsidR="00F25E58" w:rsidRDefault="0098493D">
            <w:pPr>
              <w:pStyle w:val="TableBullet2"/>
              <w:spacing w:before="0" w:after="20" w:line="240" w:lineRule="auto"/>
              <w:ind w:left="576" w:hanging="302"/>
            </w:pPr>
            <w:r>
              <w:t>Student access to and completion of advanced coursework;</w:t>
            </w:r>
          </w:p>
          <w:p w14:paraId="1E99BB66" w14:textId="77777777" w:rsidR="00F25E58" w:rsidRDefault="0098493D">
            <w:pPr>
              <w:pStyle w:val="TableBullet2"/>
              <w:spacing w:before="0" w:after="20" w:line="240" w:lineRule="auto"/>
              <w:ind w:left="576" w:hanging="302"/>
            </w:pPr>
            <w:r>
              <w:t>Postsecondary readiness;</w:t>
            </w:r>
          </w:p>
          <w:p w14:paraId="0AB6E937" w14:textId="77777777" w:rsidR="00F25E58" w:rsidRDefault="0098493D">
            <w:pPr>
              <w:pStyle w:val="TableBullet2"/>
              <w:spacing w:before="0" w:after="20" w:line="240" w:lineRule="auto"/>
              <w:ind w:left="576" w:hanging="302"/>
            </w:pPr>
            <w:r>
              <w:t>School climate and safety; and</w:t>
            </w:r>
          </w:p>
          <w:p w14:paraId="261D8D18" w14:textId="77777777" w:rsidR="00F25E58" w:rsidRDefault="0098493D" w:rsidP="0011473C">
            <w:pPr>
              <w:pStyle w:val="TableBullet2"/>
              <w:spacing w:before="0" w:after="60" w:line="240" w:lineRule="auto"/>
              <w:ind w:left="576" w:hanging="302"/>
            </w:pPr>
            <w:r>
              <w:t>Any other indicator that meets technical requirements.</w:t>
            </w:r>
          </w:p>
          <w:p w14:paraId="6A9C0E17" w14:textId="187813D7" w:rsidR="00F25E58" w:rsidRDefault="0098493D" w:rsidP="0078118E">
            <w:pPr>
              <w:pStyle w:val="TableBullet2"/>
              <w:keepNext/>
              <w:numPr>
                <w:ilvl w:val="0"/>
                <w:numId w:val="0"/>
              </w:numPr>
              <w:spacing w:before="120" w:after="20" w:line="240" w:lineRule="auto"/>
              <w:rPr>
                <w:u w:val="single"/>
              </w:rPr>
            </w:pPr>
            <w:r>
              <w:rPr>
                <w:u w:val="single"/>
              </w:rPr>
              <w:t>Technical Requirements</w:t>
            </w:r>
          </w:p>
          <w:p w14:paraId="7FD58003" w14:textId="4D4C6C4A" w:rsidR="00F25E58" w:rsidRDefault="0098493D">
            <w:pPr>
              <w:pStyle w:val="TableBulletTight"/>
              <w:spacing w:after="20" w:line="240" w:lineRule="auto"/>
              <w:rPr>
                <w:i/>
                <w:iCs/>
              </w:rPr>
            </w:pPr>
            <w:r>
              <w:t xml:space="preserve">Each of the required indicators must be valid, reliable, and comparable </w:t>
            </w:r>
            <w:r w:rsidR="00804D47">
              <w:t xml:space="preserve">statewide </w:t>
            </w:r>
            <w:r w:rsidRPr="00F66830">
              <w:rPr>
                <w:i/>
              </w:rPr>
              <w:t>across all LEAs</w:t>
            </w:r>
            <w:r>
              <w:t xml:space="preserve"> and calculated the same way in all schools (except that the additional indicator of school quality or success may vary by grade span). </w:t>
            </w:r>
          </w:p>
          <w:p w14:paraId="3C9CF65D" w14:textId="006EC116" w:rsidR="00F25E58" w:rsidRDefault="0098493D">
            <w:pPr>
              <w:pStyle w:val="TableBulletTight"/>
              <w:spacing w:after="20" w:line="240" w:lineRule="auto"/>
              <w:rPr>
                <w:i/>
                <w:iCs/>
              </w:rPr>
            </w:pPr>
            <w:r>
              <w:t xml:space="preserve">All indicators except ELP progress must be disaggregated by </w:t>
            </w:r>
            <w:r w:rsidR="00734AF3">
              <w:t xml:space="preserve">each </w:t>
            </w:r>
            <w:r>
              <w:t>subgroup.</w:t>
            </w:r>
          </w:p>
          <w:p w14:paraId="355A6C87" w14:textId="1AC8B127" w:rsidR="00F25E58" w:rsidRPr="00756041" w:rsidRDefault="00756041" w:rsidP="00500AA5">
            <w:pPr>
              <w:pStyle w:val="TableBullet1"/>
              <w:rPr>
                <w:i/>
                <w:iCs/>
              </w:rPr>
            </w:pPr>
            <w:r>
              <w:t>T</w:t>
            </w:r>
            <w:r w:rsidR="0098493D" w:rsidRPr="00500AA5">
              <w:t>he additional indicator of school quality or student</w:t>
            </w:r>
            <w:r w:rsidR="0098493D" w:rsidRPr="00F66830">
              <w:rPr>
                <w:i/>
              </w:rPr>
              <w:t xml:space="preserve"> </w:t>
            </w:r>
            <w:r w:rsidR="0098493D" w:rsidRPr="00500AA5">
              <w:t>success also must</w:t>
            </w:r>
            <w:r w:rsidRPr="00500AA5">
              <w:t xml:space="preserve"> a</w:t>
            </w:r>
            <w:r w:rsidR="0098493D" w:rsidRPr="00500AA5">
              <w:t>id in the meaningful differentiation of schools</w:t>
            </w:r>
            <w:r w:rsidR="00DC1515">
              <w:t>.</w:t>
            </w:r>
          </w:p>
          <w:p w14:paraId="690259DF" w14:textId="7CA3530F" w:rsidR="00F25E58" w:rsidRDefault="0098493D">
            <w:pPr>
              <w:pStyle w:val="TableText6above"/>
              <w:rPr>
                <w:i/>
                <w:iCs/>
              </w:rPr>
            </w:pPr>
            <w:r>
              <w:t>Sec. 1111(c)(4)(B)</w:t>
            </w:r>
          </w:p>
        </w:tc>
      </w:tr>
      <w:tr w:rsidR="00F25E58" w14:paraId="2268397D" w14:textId="77777777">
        <w:trPr>
          <w:jc w:val="center"/>
        </w:trPr>
        <w:tc>
          <w:tcPr>
            <w:tcW w:w="373" w:type="dxa"/>
            <w:shd w:val="clear" w:color="auto" w:fill="346094"/>
            <w:vAlign w:val="center"/>
          </w:tcPr>
          <w:p w14:paraId="71FC8B32" w14:textId="77777777" w:rsidR="00F25E58" w:rsidRDefault="0098493D">
            <w:pPr>
              <w:pStyle w:val="IconSpace"/>
            </w:pPr>
            <w:r>
              <w:rPr>
                <w:noProof/>
              </w:rPr>
              <w:lastRenderedPageBreak/>
              <w:drawing>
                <wp:inline distT="0" distB="0" distL="0" distR="0" wp14:anchorId="73702637" wp14:editId="307705D1">
                  <wp:extent cx="231775" cy="23177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7" w:type="dxa"/>
            <w:shd w:val="clear" w:color="auto" w:fill="D1DEEF" w:themeFill="accent1" w:themeFillTint="33"/>
            <w:vAlign w:val="center"/>
          </w:tcPr>
          <w:p w14:paraId="0074F85A"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1DE8AC5B" w14:textId="77777777">
        <w:trPr>
          <w:trHeight w:val="333"/>
          <w:jc w:val="center"/>
        </w:trPr>
        <w:tc>
          <w:tcPr>
            <w:tcW w:w="9360" w:type="dxa"/>
            <w:gridSpan w:val="2"/>
            <w:shd w:val="clear" w:color="auto" w:fill="F2F2F2" w:themeFill="background1" w:themeFillShade="F2"/>
          </w:tcPr>
          <w:p w14:paraId="13722B02" w14:textId="77777777" w:rsidR="00F25E58" w:rsidRDefault="0098493D" w:rsidP="00526AFC">
            <w:pPr>
              <w:pStyle w:val="TableText"/>
            </w:pPr>
            <w:r>
              <w:t xml:space="preserve">Under NCLB, states were required to measure, at minimum, proficiency, graduation rates (high schools), participation rates, and at least one other academic indicator (for elementary and middle schools) for Title I accountability. ESSA expands the number of measures per school and provides states the flexibility to use nonacademic measures under the additional indicator of school quality or student success. Participation rate is embedded in the proficiency calculation. For additional guidance regarding graduation rates, see </w:t>
            </w:r>
            <w:hyperlink r:id="rId34" w:history="1">
              <w:r>
                <w:rPr>
                  <w:rStyle w:val="Hyperlink"/>
                </w:rPr>
                <w:t>Every Student Succeeds Act High School Graduation Rate Non-Regulatory Guidance</w:t>
              </w:r>
            </w:hyperlink>
            <w:r>
              <w:t xml:space="preserve">. </w:t>
            </w:r>
          </w:p>
        </w:tc>
      </w:tr>
      <w:tr w:rsidR="00F25E58" w14:paraId="74148883" w14:textId="77777777">
        <w:trPr>
          <w:trHeight w:val="234"/>
          <w:jc w:val="center"/>
        </w:trPr>
        <w:tc>
          <w:tcPr>
            <w:tcW w:w="9360" w:type="dxa"/>
            <w:gridSpan w:val="2"/>
          </w:tcPr>
          <w:p w14:paraId="0228D8DF" w14:textId="77777777" w:rsidR="00F25E58" w:rsidRDefault="00F25E58">
            <w:pPr>
              <w:pStyle w:val="TableNarrowSpace"/>
            </w:pPr>
          </w:p>
        </w:tc>
      </w:tr>
      <w:tr w:rsidR="00F25E58" w14:paraId="718B2E53" w14:textId="77777777">
        <w:trPr>
          <w:jc w:val="center"/>
        </w:trPr>
        <w:tc>
          <w:tcPr>
            <w:tcW w:w="373" w:type="dxa"/>
            <w:shd w:val="clear" w:color="auto" w:fill="346094"/>
            <w:vAlign w:val="center"/>
          </w:tcPr>
          <w:p w14:paraId="52C5F334" w14:textId="77777777" w:rsidR="00F25E58" w:rsidRDefault="0098493D">
            <w:pPr>
              <w:pStyle w:val="IconSpace"/>
            </w:pPr>
            <w:r>
              <w:rPr>
                <w:noProof/>
              </w:rPr>
              <w:drawing>
                <wp:inline distT="0" distB="0" distL="0" distR="0" wp14:anchorId="6126E3E3" wp14:editId="2C0167D0">
                  <wp:extent cx="231775" cy="23177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7" w:type="dxa"/>
            <w:shd w:val="clear" w:color="auto" w:fill="D1DEEF" w:themeFill="accent1" w:themeFillTint="33"/>
            <w:vAlign w:val="center"/>
          </w:tcPr>
          <w:p w14:paraId="0F0FF087"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6EEC1DBB" w14:textId="77777777">
        <w:trPr>
          <w:trHeight w:val="3501"/>
          <w:jc w:val="center"/>
        </w:trPr>
        <w:tc>
          <w:tcPr>
            <w:tcW w:w="9360" w:type="dxa"/>
            <w:gridSpan w:val="2"/>
            <w:shd w:val="clear" w:color="auto" w:fill="F2F2F2" w:themeFill="background1" w:themeFillShade="F2"/>
          </w:tcPr>
          <w:p w14:paraId="037D2AB4" w14:textId="77777777" w:rsidR="00F25E58" w:rsidRDefault="0098493D" w:rsidP="00526AFC">
            <w:pPr>
              <w:pStyle w:val="TableBulletTight"/>
              <w:spacing w:before="80" w:line="280" w:lineRule="exact"/>
              <w:ind w:left="245" w:hanging="245"/>
              <w:rPr>
                <w:rStyle w:val="Hyperlink"/>
                <w:rFonts w:eastAsia="Calibri"/>
                <w:szCs w:val="20"/>
              </w:rPr>
            </w:pPr>
            <w:r>
              <w:fldChar w:fldCharType="begin"/>
            </w:r>
            <w:r>
              <w:instrText xml:space="preserve"> HYPERLINK "http://www.achieve.org/publications/closing-expectations-gap-2014" </w:instrText>
            </w:r>
            <w:r>
              <w:fldChar w:fldCharType="separate"/>
            </w:r>
            <w:r>
              <w:rPr>
                <w:rStyle w:val="Hyperlink"/>
              </w:rPr>
              <w:t>“Accountability for Students’ College and Career Readiness”</w:t>
            </w:r>
            <w:r>
              <w:t xml:space="preserve"> (from Closing the Expectations Gap, Achieve, 2014)</w:t>
            </w:r>
          </w:p>
          <w:p w14:paraId="73DBFB4D" w14:textId="77777777" w:rsidR="00F25E58" w:rsidRDefault="0098493D" w:rsidP="00526AFC">
            <w:pPr>
              <w:pStyle w:val="TableBulletTight"/>
              <w:spacing w:line="280" w:lineRule="exact"/>
            </w:pPr>
            <w:r>
              <w:fldChar w:fldCharType="end"/>
            </w:r>
            <w:hyperlink r:id="rId35" w:history="1">
              <w:r>
                <w:rPr>
                  <w:rStyle w:val="Hyperlink"/>
                  <w:rFonts w:eastAsia="Calibri"/>
                  <w:szCs w:val="20"/>
                </w:rPr>
                <w:t>Creating a P–20 Continuum of Actionable Indicators of Student Readiness</w:t>
              </w:r>
              <w:r>
                <w:t xml:space="preserve"> (Achieve, 2013)</w:t>
              </w:r>
            </w:hyperlink>
          </w:p>
          <w:p w14:paraId="5944B6DA" w14:textId="77777777" w:rsidR="00F25E58" w:rsidRDefault="001426BD" w:rsidP="00526AFC">
            <w:pPr>
              <w:pStyle w:val="TableBulletTight"/>
              <w:spacing w:line="280" w:lineRule="exact"/>
            </w:pPr>
            <w:hyperlink r:id="rId36" w:history="1">
              <w:r w:rsidR="0098493D">
                <w:rPr>
                  <w:rStyle w:val="Hyperlink"/>
                  <w:rFonts w:eastAsia="Calibri"/>
                  <w:szCs w:val="20"/>
                </w:rPr>
                <w:t>Predictors of Postsecondary Success</w:t>
              </w:r>
              <w:r w:rsidR="0098493D">
                <w:t xml:space="preserve"> (CCRS Center, 2013)</w:t>
              </w:r>
            </w:hyperlink>
          </w:p>
          <w:p w14:paraId="3C27A907" w14:textId="77777777" w:rsidR="00F25E58" w:rsidRDefault="0098493D" w:rsidP="00526AFC">
            <w:pPr>
              <w:pStyle w:val="TableBulletTight"/>
              <w:spacing w:line="280" w:lineRule="exact"/>
              <w:rPr>
                <w:rStyle w:val="Hyperlink"/>
              </w:rPr>
            </w:pPr>
            <w:r>
              <w:fldChar w:fldCharType="begin"/>
            </w:r>
            <w:r>
              <w:instrText xml:space="preserve"> HYPERLINK "http://bellwethereducation.org/sites/default/files/Bellwether_GradingSchools_FINAL101916.pdf" </w:instrText>
            </w:r>
            <w:r>
              <w:fldChar w:fldCharType="separate"/>
            </w:r>
            <w:r>
              <w:rPr>
                <w:rStyle w:val="Hyperlink"/>
                <w:rFonts w:eastAsia="Calibri"/>
                <w:szCs w:val="20"/>
              </w:rPr>
              <w:t>Grading Schools: How States Should Define “Quality” Under the Every Student Succeeds Act</w:t>
            </w:r>
            <w:r>
              <w:rPr>
                <w:rStyle w:val="Hyperlink"/>
              </w:rPr>
              <w:t xml:space="preserve"> </w:t>
            </w:r>
            <w:r>
              <w:t>(Bellwether Education Partners, 2016)</w:t>
            </w:r>
          </w:p>
          <w:p w14:paraId="588C5798" w14:textId="77777777" w:rsidR="00F25E58" w:rsidRDefault="0098493D" w:rsidP="00526AFC">
            <w:pPr>
              <w:pStyle w:val="TableBulletTight"/>
              <w:spacing w:line="280" w:lineRule="exact"/>
              <w:rPr>
                <w:rStyle w:val="Hyperlink"/>
                <w:rFonts w:eastAsia="Calibri"/>
                <w:szCs w:val="20"/>
                <w:u w:val="none"/>
              </w:rPr>
            </w:pPr>
            <w:r>
              <w:fldChar w:fldCharType="end"/>
            </w:r>
            <w:r>
              <w:fldChar w:fldCharType="begin"/>
            </w:r>
            <w:r>
              <w:instrText>HYPERLINK "https://www.americanprogress.org/issues/education/reports/2016/05/19/137444/making-the-grade/"</w:instrText>
            </w:r>
            <w:r>
              <w:fldChar w:fldCharType="separate"/>
            </w:r>
            <w:r>
              <w:rPr>
                <w:rStyle w:val="Hyperlink"/>
                <w:rFonts w:eastAsia="Calibri"/>
                <w:szCs w:val="20"/>
              </w:rPr>
              <w:t>Making the Grade: A 50-State Analysis of School Accountability Systems</w:t>
            </w:r>
            <w:r>
              <w:rPr>
                <w:rStyle w:val="Hyperlink"/>
                <w:rFonts w:eastAsia="Calibri"/>
                <w:szCs w:val="20"/>
                <w:u w:val="none"/>
              </w:rPr>
              <w:t xml:space="preserve"> </w:t>
            </w:r>
            <w:r>
              <w:t>(Center for American Progress, 2016)</w:t>
            </w:r>
          </w:p>
          <w:p w14:paraId="1B094B32" w14:textId="77777777" w:rsidR="00F25E58" w:rsidRDefault="0098493D" w:rsidP="00526AFC">
            <w:pPr>
              <w:pStyle w:val="TableBulletTight"/>
              <w:spacing w:line="280" w:lineRule="exact"/>
              <w:rPr>
                <w:rStyle w:val="Hyperlink"/>
              </w:rPr>
            </w:pPr>
            <w:r>
              <w:fldChar w:fldCharType="end"/>
            </w:r>
            <w:r>
              <w:rPr>
                <w:rStyle w:val="Hyperlink"/>
              </w:rPr>
              <w:fldChar w:fldCharType="begin"/>
            </w:r>
            <w:r>
              <w:rPr>
                <w:rStyle w:val="Hyperlink"/>
              </w:rPr>
              <w:instrText xml:space="preserve"> HYPERLINK "https://learningpolicyinstitute.org/sites/default/files/product-files/Pathways_New-Accountability_Through_Every_Student_Succeeds_Act_04202016.pdf" </w:instrText>
            </w:r>
            <w:r>
              <w:rPr>
                <w:rStyle w:val="Hyperlink"/>
              </w:rPr>
              <w:fldChar w:fldCharType="separate"/>
            </w:r>
            <w:r>
              <w:rPr>
                <w:rStyle w:val="Hyperlink"/>
              </w:rPr>
              <w:t xml:space="preserve">Pathways to New Accountability Through the Every Student Succeeds Act </w:t>
            </w:r>
            <w:r>
              <w:rPr>
                <w:rStyle w:val="Hyperlink"/>
              </w:rPr>
              <w:br/>
            </w:r>
            <w:r>
              <w:t>(Learning Policy Institute, 2016)</w:t>
            </w:r>
          </w:p>
          <w:p w14:paraId="4E9682FF" w14:textId="77777777" w:rsidR="00F25E58" w:rsidRDefault="0098493D" w:rsidP="00526AFC">
            <w:pPr>
              <w:pStyle w:val="TableBulletTight"/>
              <w:spacing w:line="280" w:lineRule="exact"/>
              <w:rPr>
                <w:rStyle w:val="Hyperlink"/>
              </w:rPr>
            </w:pPr>
            <w:r>
              <w:rPr>
                <w:rStyle w:val="Hyperlink"/>
              </w:rPr>
              <w:fldChar w:fldCharType="end"/>
            </w:r>
            <w:r>
              <w:fldChar w:fldCharType="begin"/>
            </w:r>
            <w:r>
              <w:instrText xml:space="preserve"> HYPERLINK "https://www.americanprogress.org/issues/education/reports/2016/12/08/294325/innovation-in-accountability/" </w:instrText>
            </w:r>
            <w:r>
              <w:fldChar w:fldCharType="separate"/>
            </w:r>
            <w:r>
              <w:rPr>
                <w:rStyle w:val="Hyperlink"/>
                <w:rFonts w:eastAsia="Calibri"/>
                <w:szCs w:val="20"/>
              </w:rPr>
              <w:t>Innovation in Accountability</w:t>
            </w:r>
            <w:r>
              <w:t xml:space="preserve"> (Center for American Progress, 2016)</w:t>
            </w:r>
          </w:p>
          <w:p w14:paraId="7F2C5590" w14:textId="77777777" w:rsidR="00F25E58" w:rsidRDefault="0098493D" w:rsidP="00526AFC">
            <w:pPr>
              <w:pStyle w:val="TableBulletTight"/>
              <w:spacing w:line="280" w:lineRule="exact"/>
              <w:rPr>
                <w:rFonts w:eastAsiaTheme="minorHAnsi"/>
                <w:color w:val="auto"/>
              </w:rPr>
            </w:pPr>
            <w:r>
              <w:rPr>
                <w:rFonts w:eastAsia="Calibri"/>
                <w:szCs w:val="20"/>
              </w:rPr>
              <w:fldChar w:fldCharType="end"/>
            </w:r>
            <w:hyperlink r:id="rId37" w:history="1">
              <w:r>
                <w:rPr>
                  <w:rStyle w:val="Hyperlink"/>
                  <w:rFonts w:eastAsia="Calibri"/>
                  <w:szCs w:val="20"/>
                </w:rPr>
                <w:t>Conceptualizing and Validating the “Fifth Indicator” in ESSA Accountability Systems</w:t>
              </w:r>
              <w:r>
                <w:t xml:space="preserve"> (NCIEA, 2016)</w:t>
              </w:r>
            </w:hyperlink>
          </w:p>
          <w:p w14:paraId="62DB68DA" w14:textId="77777777" w:rsidR="00F25E58" w:rsidRDefault="001426BD" w:rsidP="00526AFC">
            <w:pPr>
              <w:pStyle w:val="TableBulletTight"/>
              <w:spacing w:line="280" w:lineRule="exact"/>
              <w:rPr>
                <w:rFonts w:eastAsiaTheme="minorHAnsi"/>
                <w:color w:val="auto"/>
              </w:rPr>
            </w:pPr>
            <w:hyperlink r:id="rId38" w:history="1">
              <w:r w:rsidR="0098493D">
                <w:rPr>
                  <w:rStyle w:val="Hyperlink"/>
                  <w:rFonts w:eastAsiaTheme="minorHAnsi"/>
                </w:rPr>
                <w:t>Using ESSA’s Additional Indicator to Drive College and Career Readiness</w:t>
              </w:r>
            </w:hyperlink>
            <w:r w:rsidR="0098493D">
              <w:rPr>
                <w:rFonts w:eastAsiaTheme="minorHAnsi"/>
                <w:color w:val="auto"/>
              </w:rPr>
              <w:t xml:space="preserve"> (CCRS Center, 2016)</w:t>
            </w:r>
          </w:p>
          <w:p w14:paraId="165250A2" w14:textId="77777777" w:rsidR="00F25E58" w:rsidRDefault="001426BD" w:rsidP="00526AFC">
            <w:pPr>
              <w:pStyle w:val="TableBulletTight"/>
              <w:spacing w:after="120" w:line="280" w:lineRule="exact"/>
              <w:ind w:left="245" w:hanging="245"/>
              <w:rPr>
                <w:rFonts w:eastAsiaTheme="minorHAnsi"/>
                <w:color w:val="auto"/>
              </w:rPr>
            </w:pPr>
            <w:hyperlink r:id="rId39" w:history="1">
              <w:r w:rsidR="0098493D">
                <w:rPr>
                  <w:rStyle w:val="Hyperlink"/>
                  <w:rFonts w:eastAsiaTheme="minorHAnsi"/>
                </w:rPr>
                <w:t>Leveraging ESSA to Support State Visions for College and Career Readiness</w:t>
              </w:r>
            </w:hyperlink>
            <w:r w:rsidR="0098493D">
              <w:rPr>
                <w:rFonts w:eastAsiaTheme="minorHAnsi"/>
                <w:color w:val="auto"/>
              </w:rPr>
              <w:t xml:space="preserve"> (CCRS Center, 2016)</w:t>
            </w:r>
          </w:p>
        </w:tc>
      </w:tr>
    </w:tbl>
    <w:p w14:paraId="733D88B0" w14:textId="77777777" w:rsidR="00F25E58" w:rsidRDefault="00F25E58" w:rsidP="006D2A04">
      <w:pPr>
        <w:pStyle w:val="TableText"/>
        <w:spacing w:before="0" w:after="0"/>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1EB3B79C" w14:textId="77777777">
        <w:trPr>
          <w:jc w:val="center"/>
        </w:trPr>
        <w:tc>
          <w:tcPr>
            <w:tcW w:w="373" w:type="dxa"/>
            <w:shd w:val="clear" w:color="auto" w:fill="346094"/>
          </w:tcPr>
          <w:p w14:paraId="1AB1CE96" w14:textId="77777777" w:rsidR="00F25E58" w:rsidRDefault="0098493D">
            <w:pPr>
              <w:pStyle w:val="IconSpace"/>
            </w:pPr>
            <w:r>
              <w:rPr>
                <w:noProof/>
              </w:rPr>
              <w:drawing>
                <wp:inline distT="0" distB="0" distL="0" distR="0" wp14:anchorId="4CF86310" wp14:editId="6FFD481B">
                  <wp:extent cx="225425" cy="225425"/>
                  <wp:effectExtent l="0" t="0" r="3175" b="317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7" w:type="dxa"/>
            <w:shd w:val="clear" w:color="auto" w:fill="7F7F7F" w:themeFill="text1" w:themeFillTint="80"/>
          </w:tcPr>
          <w:p w14:paraId="324F13B4" w14:textId="77777777" w:rsidR="00F25E58" w:rsidRDefault="0098493D">
            <w:pPr>
              <w:pStyle w:val="TableSubheading"/>
            </w:pPr>
            <w:r>
              <w:t>III. D. Annual Differentiation</w:t>
            </w:r>
          </w:p>
        </w:tc>
      </w:tr>
      <w:tr w:rsidR="00F25E58" w14:paraId="08187360" w14:textId="77777777" w:rsidTr="001B47CC">
        <w:trPr>
          <w:trHeight w:val="1818"/>
          <w:jc w:val="center"/>
        </w:trPr>
        <w:tc>
          <w:tcPr>
            <w:tcW w:w="9360" w:type="dxa"/>
            <w:gridSpan w:val="2"/>
          </w:tcPr>
          <w:p w14:paraId="6F979FA1" w14:textId="77777777" w:rsidR="00F25E58" w:rsidRDefault="0098493D" w:rsidP="00526AFC">
            <w:pPr>
              <w:pStyle w:val="TableText"/>
            </w:pPr>
            <w:r>
              <w:t>States must establish a system for annually differentiating all public schools that provides information on the performance of all students and each subgroup of students on each of the required accountability indicators, and that:</w:t>
            </w:r>
          </w:p>
          <w:p w14:paraId="26D3DA07" w14:textId="7D8B5C36" w:rsidR="00F25E58" w:rsidRDefault="0098493D" w:rsidP="00526AFC">
            <w:pPr>
              <w:pStyle w:val="TableBullet1"/>
            </w:pPr>
            <w:r>
              <w:t>For each indicator except for the additional indicator of school quality or student success (i.e., for each required academic indicator), assigns substantial weight;</w:t>
            </w:r>
            <w:r w:rsidR="00756041">
              <w:t xml:space="preserve"> and</w:t>
            </w:r>
          </w:p>
          <w:p w14:paraId="285FFFCF" w14:textId="20B65569" w:rsidR="00F25E58" w:rsidRDefault="0098493D" w:rsidP="00526AFC">
            <w:pPr>
              <w:pStyle w:val="TableBullet1"/>
            </w:pPr>
            <w:r>
              <w:t>For required academic indicators in aggregate, assigns much greater weight than that assigned to the additional indicator of school quality or student success</w:t>
            </w:r>
            <w:r w:rsidR="00756041">
              <w:t>.</w:t>
            </w:r>
          </w:p>
          <w:p w14:paraId="0842DCAC" w14:textId="611EF12E" w:rsidR="00F25E58" w:rsidRPr="001B47CC" w:rsidRDefault="0098493D" w:rsidP="006D2A04">
            <w:pPr>
              <w:pStyle w:val="TableText6above"/>
              <w:spacing w:before="80" w:after="80" w:line="240" w:lineRule="auto"/>
            </w:pPr>
            <w:r>
              <w:t>Sec. 1111(c)(4)(C)</w:t>
            </w:r>
          </w:p>
        </w:tc>
      </w:tr>
      <w:tr w:rsidR="00F25E58" w14:paraId="6E6D7DB3" w14:textId="77777777">
        <w:trPr>
          <w:jc w:val="center"/>
        </w:trPr>
        <w:tc>
          <w:tcPr>
            <w:tcW w:w="373" w:type="dxa"/>
            <w:shd w:val="clear" w:color="auto" w:fill="346094"/>
            <w:vAlign w:val="center"/>
          </w:tcPr>
          <w:p w14:paraId="2D0EE8E4" w14:textId="77777777" w:rsidR="00F25E58" w:rsidRDefault="0098493D">
            <w:pPr>
              <w:pStyle w:val="IconSpace"/>
            </w:pPr>
            <w:r>
              <w:rPr>
                <w:noProof/>
              </w:rPr>
              <w:drawing>
                <wp:inline distT="0" distB="0" distL="0" distR="0" wp14:anchorId="62C43835" wp14:editId="1CAD2199">
                  <wp:extent cx="231775" cy="23177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7" w:type="dxa"/>
            <w:shd w:val="clear" w:color="auto" w:fill="D1DEEF" w:themeFill="accent1" w:themeFillTint="33"/>
            <w:vAlign w:val="center"/>
          </w:tcPr>
          <w:p w14:paraId="30094374"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2987CA27" w14:textId="77777777">
        <w:trPr>
          <w:trHeight w:val="333"/>
          <w:jc w:val="center"/>
        </w:trPr>
        <w:tc>
          <w:tcPr>
            <w:tcW w:w="9360" w:type="dxa"/>
            <w:gridSpan w:val="2"/>
            <w:shd w:val="clear" w:color="auto" w:fill="F2F2F2" w:themeFill="background1" w:themeFillShade="F2"/>
          </w:tcPr>
          <w:p w14:paraId="797C1D95" w14:textId="77777777" w:rsidR="00F25E58" w:rsidRDefault="0098493D" w:rsidP="00526AFC">
            <w:pPr>
              <w:pStyle w:val="TableText"/>
            </w:pPr>
            <w:r>
              <w:t>NCLB required the annual calculation of adequate yearly progress (</w:t>
            </w:r>
            <w:r w:rsidRPr="00526AFC">
              <w:t>AYP</w:t>
            </w:r>
            <w:r>
              <w:t>) for all public schools based on performance against the annual measurable objectives (AMOs) described in section III.B. This goals-based system—distinct from a weighted, or compensatory, system—identified schools for improvement status that, over a consecutive number of years, had missed any of the required AMOs.</w:t>
            </w:r>
          </w:p>
        </w:tc>
      </w:tr>
      <w:tr w:rsidR="00F25E58" w14:paraId="44ED1179" w14:textId="77777777">
        <w:trPr>
          <w:trHeight w:val="234"/>
          <w:jc w:val="center"/>
        </w:trPr>
        <w:tc>
          <w:tcPr>
            <w:tcW w:w="9360" w:type="dxa"/>
            <w:gridSpan w:val="2"/>
          </w:tcPr>
          <w:p w14:paraId="5962F8BB" w14:textId="77777777" w:rsidR="00F25E58" w:rsidRDefault="00F25E58">
            <w:pPr>
              <w:pStyle w:val="TableText"/>
            </w:pPr>
          </w:p>
        </w:tc>
      </w:tr>
      <w:tr w:rsidR="00F25E58" w14:paraId="3BD23804" w14:textId="77777777">
        <w:trPr>
          <w:jc w:val="center"/>
        </w:trPr>
        <w:tc>
          <w:tcPr>
            <w:tcW w:w="373" w:type="dxa"/>
            <w:shd w:val="clear" w:color="auto" w:fill="346094"/>
            <w:vAlign w:val="center"/>
          </w:tcPr>
          <w:p w14:paraId="55C42C3E" w14:textId="77777777" w:rsidR="00F25E58" w:rsidRDefault="0098493D">
            <w:pPr>
              <w:pStyle w:val="IconSpace"/>
            </w:pPr>
            <w:r>
              <w:rPr>
                <w:noProof/>
              </w:rPr>
              <w:drawing>
                <wp:inline distT="0" distB="0" distL="0" distR="0" wp14:anchorId="38EEA3FA" wp14:editId="36158CE8">
                  <wp:extent cx="231775" cy="231775"/>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7" w:type="dxa"/>
            <w:shd w:val="clear" w:color="auto" w:fill="D1DEEF" w:themeFill="accent1" w:themeFillTint="33"/>
            <w:vAlign w:val="center"/>
          </w:tcPr>
          <w:p w14:paraId="61E225D5"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624A6437" w14:textId="77777777">
        <w:trPr>
          <w:trHeight w:val="423"/>
          <w:jc w:val="center"/>
        </w:trPr>
        <w:tc>
          <w:tcPr>
            <w:tcW w:w="9360" w:type="dxa"/>
            <w:gridSpan w:val="2"/>
            <w:shd w:val="clear" w:color="auto" w:fill="F2F2F2" w:themeFill="background1" w:themeFillShade="F2"/>
          </w:tcPr>
          <w:p w14:paraId="0ABBD0EA" w14:textId="77777777" w:rsidR="00F25E58" w:rsidRDefault="001426BD" w:rsidP="00526AFC">
            <w:pPr>
              <w:pStyle w:val="TableBullet1"/>
              <w:spacing w:before="40" w:after="40"/>
              <w:ind w:left="245" w:hanging="245"/>
              <w:rPr>
                <w:rFonts w:eastAsia="Calibri"/>
              </w:rPr>
            </w:pPr>
            <w:hyperlink r:id="rId40" w:history="1">
              <w:r w:rsidR="0098493D">
                <w:rPr>
                  <w:rStyle w:val="Hyperlink"/>
                  <w:rFonts w:eastAsia="Calibri"/>
                  <w:szCs w:val="20"/>
                </w:rPr>
                <w:t>Key Issues for Aggregating Indicators under ESSA</w:t>
              </w:r>
              <w:r w:rsidR="0098493D">
                <w:t xml:space="preserve"> (</w:t>
              </w:r>
              <w:r w:rsidR="0098493D" w:rsidRPr="00526AFC">
                <w:t>CCSSO</w:t>
              </w:r>
              <w:r w:rsidR="0098493D">
                <w:t>, 2016)</w:t>
              </w:r>
            </w:hyperlink>
          </w:p>
        </w:tc>
      </w:tr>
    </w:tbl>
    <w:p w14:paraId="5AF38F8F" w14:textId="77777777" w:rsidR="00F25E58" w:rsidRPr="00DC779F" w:rsidRDefault="00F25E58" w:rsidP="00526AFC">
      <w:pPr>
        <w:pStyle w:val="TableNarrowSpace"/>
        <w:rPr>
          <w:sz w:val="6"/>
          <w:szCs w:val="6"/>
        </w:rPr>
      </w:pPr>
    </w:p>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8985"/>
      </w:tblGrid>
      <w:tr w:rsidR="00F25E58" w14:paraId="2471D76C" w14:textId="77777777">
        <w:trPr>
          <w:jc w:val="center"/>
        </w:trPr>
        <w:tc>
          <w:tcPr>
            <w:tcW w:w="378" w:type="dxa"/>
            <w:shd w:val="clear" w:color="auto" w:fill="346094"/>
          </w:tcPr>
          <w:p w14:paraId="4CD74B46" w14:textId="77777777" w:rsidR="00F25E58" w:rsidRDefault="0098493D">
            <w:pPr>
              <w:pStyle w:val="IconSpace"/>
              <w:keepNext/>
            </w:pPr>
            <w:r>
              <w:rPr>
                <w:noProof/>
              </w:rPr>
              <w:drawing>
                <wp:inline distT="0" distB="0" distL="0" distR="0" wp14:anchorId="73CB6703" wp14:editId="5D3BC9E9">
                  <wp:extent cx="225425" cy="225425"/>
                  <wp:effectExtent l="0" t="0" r="3175" b="3175"/>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7A6F8C9A" w14:textId="3548D85B" w:rsidR="00F25E58" w:rsidRDefault="0098493D">
            <w:pPr>
              <w:keepNext/>
              <w:spacing w:before="40" w:after="40" w:line="280" w:lineRule="exact"/>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III. E. Comprehensive Support Schools</w:t>
            </w:r>
          </w:p>
        </w:tc>
      </w:tr>
      <w:tr w:rsidR="00F25E58" w14:paraId="3ED145D6" w14:textId="77777777" w:rsidTr="001B47CC">
        <w:trPr>
          <w:trHeight w:val="2439"/>
          <w:jc w:val="center"/>
        </w:trPr>
        <w:tc>
          <w:tcPr>
            <w:tcW w:w="9576" w:type="dxa"/>
            <w:gridSpan w:val="2"/>
          </w:tcPr>
          <w:p w14:paraId="3E621E3B" w14:textId="557E625B" w:rsidR="00F25E58" w:rsidRDefault="0098493D" w:rsidP="002E4DE8">
            <w:pPr>
              <w:pStyle w:val="TableText"/>
              <w:spacing w:line="260" w:lineRule="exact"/>
            </w:pPr>
            <w:r>
              <w:t>States must establish a methodology to identify, at least once every 3 years, the following three categories of schools for comprehensive support and improvement, based on the system of annual differentiation:</w:t>
            </w:r>
          </w:p>
          <w:p w14:paraId="552E88A9" w14:textId="02170AF6" w:rsidR="00F25E58" w:rsidRDefault="0098493D">
            <w:pPr>
              <w:pStyle w:val="TableBullet1"/>
            </w:pPr>
            <w:r>
              <w:t>Not less than the lowest performing 5% of Title I schools based on all accountability indicators</w:t>
            </w:r>
            <w:r w:rsidR="00756041">
              <w:t>;</w:t>
            </w:r>
          </w:p>
          <w:p w14:paraId="753DA351" w14:textId="16101402" w:rsidR="00F25E58" w:rsidRDefault="0098493D">
            <w:pPr>
              <w:pStyle w:val="TableBullet1"/>
            </w:pPr>
            <w:r>
              <w:t xml:space="preserve">All public high schools </w:t>
            </w:r>
            <w:r w:rsidR="00756041">
              <w:t>that fail to g</w:t>
            </w:r>
            <w:r w:rsidR="00B84AB3">
              <w:t>raduate one-third or more of their</w:t>
            </w:r>
            <w:r w:rsidR="00756041">
              <w:t xml:space="preserve"> students</w:t>
            </w:r>
            <w:r>
              <w:t>; and</w:t>
            </w:r>
          </w:p>
          <w:p w14:paraId="2B30D034" w14:textId="77777777" w:rsidR="00DC1515" w:rsidRDefault="0098493D" w:rsidP="00500AA5">
            <w:pPr>
              <w:pStyle w:val="TableBullet1"/>
            </w:pPr>
            <w:r>
              <w:t>Title I schools that fail to exit “additional targeted” status (see section III.G) after a state-determined number of years</w:t>
            </w:r>
            <w:r w:rsidR="00DC1515">
              <w:t>.</w:t>
            </w:r>
            <w:r>
              <w:t xml:space="preserve"> </w:t>
            </w:r>
          </w:p>
          <w:p w14:paraId="59D5C894" w14:textId="0AB0291F" w:rsidR="00F25E58" w:rsidRDefault="0098493D" w:rsidP="00DC779F">
            <w:pPr>
              <w:pStyle w:val="TableBullet1"/>
              <w:numPr>
                <w:ilvl w:val="0"/>
                <w:numId w:val="0"/>
              </w:numPr>
            </w:pPr>
            <w:r>
              <w:t>States must notify LEAs of schools identified for comprehensive support.</w:t>
            </w:r>
          </w:p>
          <w:p w14:paraId="797CABA1" w14:textId="4F389928" w:rsidR="00F25E58" w:rsidRDefault="0098493D">
            <w:pPr>
              <w:pStyle w:val="TableText6above"/>
              <w:spacing w:after="120"/>
            </w:pPr>
            <w:r>
              <w:t>Sec. 1111(c)(4)(D)</w:t>
            </w:r>
          </w:p>
        </w:tc>
      </w:tr>
      <w:tr w:rsidR="00F25E58" w14:paraId="51A0DC93" w14:textId="77777777">
        <w:trPr>
          <w:jc w:val="center"/>
        </w:trPr>
        <w:tc>
          <w:tcPr>
            <w:tcW w:w="378" w:type="dxa"/>
            <w:shd w:val="clear" w:color="auto" w:fill="346094"/>
            <w:vAlign w:val="center"/>
          </w:tcPr>
          <w:p w14:paraId="7D70F070" w14:textId="77777777" w:rsidR="00F25E58" w:rsidRDefault="0098493D">
            <w:pPr>
              <w:pStyle w:val="IconSpace"/>
              <w:jc w:val="left"/>
            </w:pPr>
            <w:r>
              <w:rPr>
                <w:noProof/>
              </w:rPr>
              <w:drawing>
                <wp:inline distT="0" distB="0" distL="0" distR="0" wp14:anchorId="59BDD82B" wp14:editId="631AD25E">
                  <wp:extent cx="231775" cy="23177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70C506C0"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228D0D70" w14:textId="77777777">
        <w:trPr>
          <w:trHeight w:val="333"/>
          <w:jc w:val="center"/>
        </w:trPr>
        <w:tc>
          <w:tcPr>
            <w:tcW w:w="9576" w:type="dxa"/>
            <w:gridSpan w:val="2"/>
            <w:shd w:val="clear" w:color="auto" w:fill="F2F2F2" w:themeFill="background1" w:themeFillShade="F2"/>
          </w:tcPr>
          <w:p w14:paraId="233AD1BD" w14:textId="77777777" w:rsidR="00F25E58" w:rsidRDefault="0098493D" w:rsidP="00526AFC">
            <w:pPr>
              <w:pStyle w:val="TableText"/>
              <w:spacing w:after="120" w:line="260" w:lineRule="exact"/>
            </w:pPr>
            <w:r>
              <w:t>Under NCLB, a school was identified for improvement status based on the number of consecutive years that it had failed to meet any criterion for AYP. Under ESSA, the number of years of underperformance is just one factor for identifying low-performing schools—improvement status categories are also defined by the performance measures and student populations (all students versus subgroups) they include.</w:t>
            </w:r>
          </w:p>
        </w:tc>
      </w:tr>
    </w:tbl>
    <w:p w14:paraId="184949FF" w14:textId="77777777" w:rsidR="00F25E58" w:rsidRPr="00DC779F" w:rsidRDefault="00F25E58" w:rsidP="00E93F38">
      <w:pPr>
        <w:pStyle w:val="TableText"/>
        <w:spacing w:line="240" w:lineRule="auto"/>
        <w:rPr>
          <w:sz w:val="12"/>
          <w:szCs w:val="12"/>
        </w:rPr>
      </w:pPr>
    </w:p>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8985"/>
      </w:tblGrid>
      <w:tr w:rsidR="00F25E58" w14:paraId="5FA12DCA" w14:textId="77777777">
        <w:trPr>
          <w:jc w:val="center"/>
        </w:trPr>
        <w:tc>
          <w:tcPr>
            <w:tcW w:w="378" w:type="dxa"/>
            <w:shd w:val="clear" w:color="auto" w:fill="346094"/>
          </w:tcPr>
          <w:p w14:paraId="4EA879FA" w14:textId="77777777" w:rsidR="00F25E58" w:rsidRDefault="0098493D">
            <w:pPr>
              <w:pStyle w:val="IconSpace"/>
            </w:pPr>
            <w:r>
              <w:rPr>
                <w:noProof/>
              </w:rPr>
              <w:drawing>
                <wp:inline distT="0" distB="0" distL="0" distR="0" wp14:anchorId="17055DCE" wp14:editId="43EC72C4">
                  <wp:extent cx="225425" cy="225425"/>
                  <wp:effectExtent l="0" t="0" r="3175" b="3175"/>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305C4A75" w14:textId="4F2B9504" w:rsidR="00F25E58" w:rsidRDefault="0098493D">
            <w:pPr>
              <w:spacing w:before="40" w:after="40" w:line="280" w:lineRule="exact"/>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III. F.</w:t>
            </w:r>
            <w:r>
              <w:t xml:space="preserve"> </w:t>
            </w:r>
            <w:r>
              <w:rPr>
                <w:rFonts w:ascii="Arial" w:eastAsia="Calibri" w:hAnsi="Arial" w:cs="Arial"/>
                <w:b/>
                <w:color w:val="FFFFFF" w:themeColor="background1"/>
                <w:sz w:val="20"/>
                <w:szCs w:val="20"/>
              </w:rPr>
              <w:t>Targeted Support Schools</w:t>
            </w:r>
          </w:p>
        </w:tc>
      </w:tr>
      <w:tr w:rsidR="00F25E58" w14:paraId="7F6C2FA2" w14:textId="77777777">
        <w:trPr>
          <w:jc w:val="center"/>
        </w:trPr>
        <w:tc>
          <w:tcPr>
            <w:tcW w:w="9576" w:type="dxa"/>
            <w:gridSpan w:val="2"/>
          </w:tcPr>
          <w:p w14:paraId="45667C91" w14:textId="3A436CCE" w:rsidR="00F25E58" w:rsidRDefault="0098493D" w:rsidP="00994A1C">
            <w:pPr>
              <w:pStyle w:val="TableText"/>
            </w:pPr>
            <w:r>
              <w:t>Each state must notify each LEA of any school in which any subgroup of students is consistently underperforming</w:t>
            </w:r>
            <w:r w:rsidR="00B84AB3">
              <w:t xml:space="preserve"> over a number of years</w:t>
            </w:r>
            <w:r>
              <w:t xml:space="preserve">, </w:t>
            </w:r>
            <w:r w:rsidR="00D11D56">
              <w:t xml:space="preserve">based on </w:t>
            </w:r>
            <w:r>
              <w:t xml:space="preserve">all of the required accountability indicators </w:t>
            </w:r>
            <w:r w:rsidR="00D11D56">
              <w:t xml:space="preserve">and </w:t>
            </w:r>
            <w:r>
              <w:t>the system of</w:t>
            </w:r>
            <w:r w:rsidR="00D11D56">
              <w:t xml:space="preserve"> annual</w:t>
            </w:r>
            <w:r>
              <w:t xml:space="preserve"> differentiation, and ensure that each LEA provides notification to the school. </w:t>
            </w:r>
          </w:p>
          <w:p w14:paraId="415F4879" w14:textId="6374B041" w:rsidR="00F25E58" w:rsidRDefault="0098493D">
            <w:pPr>
              <w:pStyle w:val="TableText6above"/>
              <w:spacing w:after="120"/>
            </w:pPr>
            <w:r>
              <w:t>Sec. 1111(c)(4)(D)</w:t>
            </w:r>
          </w:p>
        </w:tc>
      </w:tr>
      <w:tr w:rsidR="00F25E58" w14:paraId="697ECEB2" w14:textId="77777777">
        <w:trPr>
          <w:jc w:val="center"/>
        </w:trPr>
        <w:tc>
          <w:tcPr>
            <w:tcW w:w="378" w:type="dxa"/>
            <w:shd w:val="clear" w:color="auto" w:fill="346094"/>
            <w:vAlign w:val="center"/>
          </w:tcPr>
          <w:p w14:paraId="746C4658" w14:textId="77777777" w:rsidR="00F25E58" w:rsidRDefault="0098493D">
            <w:pPr>
              <w:pStyle w:val="IconSpace"/>
            </w:pPr>
            <w:r>
              <w:rPr>
                <w:noProof/>
              </w:rPr>
              <w:drawing>
                <wp:inline distT="0" distB="0" distL="0" distR="0" wp14:anchorId="60FB9541" wp14:editId="2E99C677">
                  <wp:extent cx="231775" cy="231775"/>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78D39EC4"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7CD17DD7" w14:textId="77777777">
        <w:trPr>
          <w:trHeight w:val="333"/>
          <w:jc w:val="center"/>
        </w:trPr>
        <w:tc>
          <w:tcPr>
            <w:tcW w:w="9576" w:type="dxa"/>
            <w:gridSpan w:val="2"/>
            <w:shd w:val="clear" w:color="auto" w:fill="F2F2F2" w:themeFill="background1" w:themeFillShade="F2"/>
          </w:tcPr>
          <w:p w14:paraId="40CC687E" w14:textId="77777777" w:rsidR="00F25E58" w:rsidRDefault="0098493D">
            <w:pPr>
              <w:pStyle w:val="TableText"/>
              <w:rPr>
                <w:spacing w:val="-2"/>
              </w:rPr>
            </w:pPr>
            <w:r>
              <w:rPr>
                <w:spacing w:val="-2"/>
              </w:rPr>
              <w:t>Under NCLB, states were required to identify schools with low-performing subgroups based on subgroup performance against AMOs. Under ESSA, states have flexibility in defining low subgroup performance.</w:t>
            </w:r>
          </w:p>
        </w:tc>
      </w:tr>
    </w:tbl>
    <w:p w14:paraId="0BD599AB" w14:textId="77777777" w:rsidR="00F25E58" w:rsidRPr="00DC779F" w:rsidRDefault="00F25E58">
      <w:pPr>
        <w:pStyle w:val="TableText"/>
        <w:spacing w:after="0" w:line="240" w:lineRule="auto"/>
        <w:rPr>
          <w:rFonts w:eastAsiaTheme="minorHAnsi"/>
          <w:sz w:val="12"/>
          <w:szCs w:val="12"/>
        </w:rPr>
      </w:pPr>
    </w:p>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8985"/>
      </w:tblGrid>
      <w:tr w:rsidR="00F25E58" w14:paraId="3D5A8F5A" w14:textId="77777777">
        <w:trPr>
          <w:jc w:val="center"/>
        </w:trPr>
        <w:tc>
          <w:tcPr>
            <w:tcW w:w="375" w:type="dxa"/>
            <w:shd w:val="clear" w:color="auto" w:fill="346094"/>
          </w:tcPr>
          <w:p w14:paraId="1C74F2A4" w14:textId="77777777" w:rsidR="00F25E58" w:rsidRDefault="0098493D">
            <w:pPr>
              <w:pStyle w:val="IconSpace"/>
              <w:keepNext/>
            </w:pPr>
            <w:r>
              <w:rPr>
                <w:noProof/>
              </w:rPr>
              <w:drawing>
                <wp:inline distT="0" distB="0" distL="0" distR="0" wp14:anchorId="5C5F93A1" wp14:editId="59AF5D81">
                  <wp:extent cx="225425" cy="225425"/>
                  <wp:effectExtent l="0" t="0" r="3175" b="3175"/>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5" w:type="dxa"/>
            <w:shd w:val="clear" w:color="auto" w:fill="7F7F7F" w:themeFill="text1" w:themeFillTint="80"/>
          </w:tcPr>
          <w:p w14:paraId="4D8D35EC" w14:textId="10DD8D67" w:rsidR="00F25E58" w:rsidRDefault="0098493D">
            <w:pPr>
              <w:keepNext/>
              <w:spacing w:before="40" w:after="40" w:line="280" w:lineRule="exact"/>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III. G. Schools Receiving Additional Targeted</w:t>
            </w:r>
            <w:r w:rsidR="00526AFC">
              <w:rPr>
                <w:rFonts w:ascii="Arial" w:eastAsia="Calibri" w:hAnsi="Arial" w:cs="Arial"/>
                <w:b/>
                <w:color w:val="FFFFFF" w:themeColor="background1"/>
                <w:sz w:val="20"/>
                <w:szCs w:val="20"/>
              </w:rPr>
              <w:t xml:space="preserve"> </w:t>
            </w:r>
            <w:r>
              <w:rPr>
                <w:rFonts w:ascii="Arial" w:eastAsia="Calibri" w:hAnsi="Arial" w:cs="Arial"/>
                <w:b/>
                <w:color w:val="FFFFFF" w:themeColor="background1"/>
                <w:sz w:val="20"/>
                <w:szCs w:val="20"/>
              </w:rPr>
              <w:t>Support</w:t>
            </w:r>
          </w:p>
        </w:tc>
      </w:tr>
      <w:tr w:rsidR="00F25E58" w14:paraId="66ECAC1C" w14:textId="77777777">
        <w:trPr>
          <w:trHeight w:val="999"/>
          <w:jc w:val="center"/>
        </w:trPr>
        <w:tc>
          <w:tcPr>
            <w:tcW w:w="9360" w:type="dxa"/>
            <w:gridSpan w:val="2"/>
          </w:tcPr>
          <w:p w14:paraId="563A49C2" w14:textId="4B26638A" w:rsidR="00F25E58" w:rsidRDefault="0098493D">
            <w:pPr>
              <w:pStyle w:val="TableText"/>
              <w:spacing w:after="0"/>
            </w:pPr>
            <w:r>
              <w:t>If a school (Title I or non-Title I) has a subgroup that on its own would have been among the lowest performing 5% of all Title I schools, then the school must receive additional targeted support</w:t>
            </w:r>
            <w:r w:rsidR="007F0682">
              <w:t xml:space="preserve"> by reviewing and addressing resource inequities through its school improvement plan</w:t>
            </w:r>
            <w:r>
              <w:t xml:space="preserve">. </w:t>
            </w:r>
          </w:p>
          <w:p w14:paraId="152C7E0E" w14:textId="23B39E81" w:rsidR="00F25E58" w:rsidRDefault="0098493D">
            <w:pPr>
              <w:pStyle w:val="TableText6above"/>
              <w:spacing w:after="120"/>
            </w:pPr>
            <w:r>
              <w:t>Sec. 1111(d)(2)</w:t>
            </w:r>
          </w:p>
        </w:tc>
      </w:tr>
      <w:tr w:rsidR="00F25E58" w14:paraId="1CA36D8F" w14:textId="77777777">
        <w:trPr>
          <w:jc w:val="center"/>
        </w:trPr>
        <w:tc>
          <w:tcPr>
            <w:tcW w:w="375" w:type="dxa"/>
            <w:shd w:val="clear" w:color="auto" w:fill="346094"/>
            <w:vAlign w:val="center"/>
          </w:tcPr>
          <w:p w14:paraId="2093A3E3" w14:textId="77777777" w:rsidR="00F25E58" w:rsidRDefault="0098493D">
            <w:pPr>
              <w:pStyle w:val="IconSpace"/>
            </w:pPr>
            <w:r>
              <w:rPr>
                <w:noProof/>
              </w:rPr>
              <w:drawing>
                <wp:inline distT="0" distB="0" distL="0" distR="0" wp14:anchorId="37A30BC9" wp14:editId="0507E368">
                  <wp:extent cx="231775" cy="231775"/>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5" w:type="dxa"/>
            <w:shd w:val="clear" w:color="auto" w:fill="D1DEEF" w:themeFill="accent1" w:themeFillTint="33"/>
            <w:vAlign w:val="center"/>
          </w:tcPr>
          <w:p w14:paraId="5B02FCA7"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0018836B" w14:textId="77777777">
        <w:trPr>
          <w:trHeight w:val="333"/>
          <w:jc w:val="center"/>
        </w:trPr>
        <w:tc>
          <w:tcPr>
            <w:tcW w:w="9360" w:type="dxa"/>
            <w:gridSpan w:val="2"/>
            <w:shd w:val="clear" w:color="auto" w:fill="F2F2F2" w:themeFill="background1" w:themeFillShade="F2"/>
          </w:tcPr>
          <w:p w14:paraId="44AEC716" w14:textId="77777777" w:rsidR="00F25E58" w:rsidRDefault="0098493D">
            <w:pPr>
              <w:pStyle w:val="TableText"/>
            </w:pPr>
            <w:r>
              <w:t>NCLB did not include an equivalent provision. ESSA introduces the identification of such schools based on subgroup performance across all measures.</w:t>
            </w:r>
          </w:p>
        </w:tc>
      </w:tr>
    </w:tbl>
    <w:p w14:paraId="47764CFA" w14:textId="77777777" w:rsidR="00F25E58" w:rsidRDefault="0098493D">
      <w:pPr>
        <w:pStyle w:val="TableText"/>
        <w:tabs>
          <w:tab w:val="left" w:pos="1399"/>
        </w:tabs>
        <w:spacing w:before="0" w:line="240" w:lineRule="auto"/>
        <w:rPr>
          <w:rFonts w:eastAsiaTheme="minorHAnsi"/>
          <w:sz w:val="2"/>
          <w:szCs w:val="2"/>
        </w:rPr>
      </w:pPr>
      <w:r>
        <w:rPr>
          <w:rFonts w:eastAsiaTheme="minorHAnsi"/>
          <w:sz w:val="2"/>
          <w:szCs w:val="2"/>
        </w:rPr>
        <w:tab/>
      </w:r>
    </w:p>
    <w:p w14:paraId="2073FA00" w14:textId="77777777" w:rsidR="00F25E58" w:rsidRPr="00DC779F" w:rsidRDefault="00F25E58">
      <w:pPr>
        <w:pStyle w:val="TableText"/>
        <w:tabs>
          <w:tab w:val="left" w:pos="1399"/>
        </w:tabs>
        <w:spacing w:before="0" w:line="240" w:lineRule="auto"/>
        <w:rPr>
          <w:rFonts w:eastAsiaTheme="minorHAnsi"/>
          <w:sz w:val="12"/>
          <w:szCs w:val="12"/>
        </w:rPr>
      </w:pPr>
    </w:p>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8985"/>
      </w:tblGrid>
      <w:tr w:rsidR="00F25E58" w14:paraId="35BEEF18" w14:textId="77777777">
        <w:trPr>
          <w:jc w:val="center"/>
        </w:trPr>
        <w:tc>
          <w:tcPr>
            <w:tcW w:w="378" w:type="dxa"/>
            <w:shd w:val="clear" w:color="auto" w:fill="346094"/>
          </w:tcPr>
          <w:p w14:paraId="1C4A97B0" w14:textId="77777777" w:rsidR="00F25E58" w:rsidRDefault="0098493D">
            <w:pPr>
              <w:pStyle w:val="IconSpace"/>
            </w:pPr>
            <w:r>
              <w:rPr>
                <w:noProof/>
              </w:rPr>
              <w:drawing>
                <wp:inline distT="0" distB="0" distL="0" distR="0" wp14:anchorId="1AABC7E7" wp14:editId="4B20A875">
                  <wp:extent cx="225425" cy="225425"/>
                  <wp:effectExtent l="0" t="0" r="3175" b="3175"/>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74A9EB90" w14:textId="77777777" w:rsidR="00F25E58" w:rsidRDefault="0098493D">
            <w:pPr>
              <w:spacing w:before="40" w:after="40" w:line="280" w:lineRule="exact"/>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III. H.</w:t>
            </w:r>
            <w:r>
              <w:t xml:space="preserve"> </w:t>
            </w:r>
            <w:r>
              <w:rPr>
                <w:rFonts w:ascii="Arial" w:eastAsia="Calibri" w:hAnsi="Arial" w:cs="Arial"/>
                <w:b/>
                <w:color w:val="FFFFFF" w:themeColor="background1"/>
                <w:sz w:val="20"/>
                <w:szCs w:val="20"/>
              </w:rPr>
              <w:t>Participation Rate</w:t>
            </w:r>
          </w:p>
        </w:tc>
      </w:tr>
      <w:tr w:rsidR="00F25E58" w14:paraId="70E0DA41" w14:textId="77777777" w:rsidTr="002E4DE8">
        <w:trPr>
          <w:trHeight w:val="95"/>
          <w:jc w:val="center"/>
        </w:trPr>
        <w:tc>
          <w:tcPr>
            <w:tcW w:w="9576" w:type="dxa"/>
            <w:gridSpan w:val="2"/>
          </w:tcPr>
          <w:p w14:paraId="78E74841" w14:textId="3CD4844B" w:rsidR="00F25E58" w:rsidRPr="00C532F7" w:rsidRDefault="0098493D" w:rsidP="002E4DE8">
            <w:pPr>
              <w:pStyle w:val="TableText"/>
              <w:spacing w:line="260" w:lineRule="exact"/>
              <w:rPr>
                <w:i/>
              </w:rPr>
            </w:pPr>
            <w:r>
              <w:t xml:space="preserve">In addition to the inclusion of participation rate in the proficiency rate calculation, states must provide a clear and understandable explanation of how the state will factor the 95% participation rate requirement into its overall accountability system. </w:t>
            </w:r>
          </w:p>
          <w:p w14:paraId="5664B782" w14:textId="6F3634A7" w:rsidR="00F25E58" w:rsidRDefault="0098493D">
            <w:pPr>
              <w:pStyle w:val="TableText6above"/>
              <w:spacing w:after="120"/>
            </w:pPr>
            <w:r>
              <w:rPr>
                <w:rFonts w:eastAsia="Times New Roman" w:cs="Arial"/>
              </w:rPr>
              <w:t>Sec. 1111</w:t>
            </w:r>
            <w:r w:rsidR="00AE347B">
              <w:rPr>
                <w:rFonts w:eastAsia="Times New Roman" w:cs="Arial"/>
              </w:rPr>
              <w:t>(c)(4)(E)(iii)</w:t>
            </w:r>
          </w:p>
        </w:tc>
      </w:tr>
      <w:tr w:rsidR="00F25E58" w14:paraId="37B1EF53" w14:textId="77777777">
        <w:trPr>
          <w:jc w:val="center"/>
        </w:trPr>
        <w:tc>
          <w:tcPr>
            <w:tcW w:w="378" w:type="dxa"/>
            <w:shd w:val="clear" w:color="auto" w:fill="346094"/>
            <w:vAlign w:val="center"/>
          </w:tcPr>
          <w:p w14:paraId="7D21DC42" w14:textId="77777777" w:rsidR="00F25E58" w:rsidRDefault="0098493D">
            <w:pPr>
              <w:pStyle w:val="IconSpace"/>
            </w:pPr>
            <w:r>
              <w:rPr>
                <w:noProof/>
              </w:rPr>
              <w:lastRenderedPageBreak/>
              <w:drawing>
                <wp:inline distT="0" distB="0" distL="0" distR="0" wp14:anchorId="3EEB6B8B" wp14:editId="68898192">
                  <wp:extent cx="231775" cy="231775"/>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170BB881"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733E3DDA" w14:textId="77777777">
        <w:trPr>
          <w:trHeight w:val="333"/>
          <w:jc w:val="center"/>
        </w:trPr>
        <w:tc>
          <w:tcPr>
            <w:tcW w:w="9576" w:type="dxa"/>
            <w:gridSpan w:val="2"/>
            <w:shd w:val="clear" w:color="auto" w:fill="F2F2F2" w:themeFill="background1" w:themeFillShade="F2"/>
          </w:tcPr>
          <w:p w14:paraId="4037216A" w14:textId="77777777" w:rsidR="00F25E58" w:rsidRDefault="0098493D" w:rsidP="002E4DE8">
            <w:pPr>
              <w:pStyle w:val="TableText"/>
              <w:spacing w:line="260" w:lineRule="exact"/>
            </w:pPr>
            <w:r>
              <w:t>Under NCLB, schools were required to meet participation rate AMOs for all students and subgroups in order to meet AYP. ESSA addresses participation rates by embedding them in the proficiency rate calculation and requiring some other mechanism within the accountability system to address low participation rates.</w:t>
            </w:r>
          </w:p>
          <w:p w14:paraId="1E09A651" w14:textId="77777777" w:rsidR="00F25E58" w:rsidRDefault="0098493D" w:rsidP="002E4DE8">
            <w:pPr>
              <w:pStyle w:val="TableText"/>
              <w:spacing w:before="120" w:line="260" w:lineRule="exact"/>
            </w:pPr>
            <w:r>
              <w:rPr>
                <w:rFonts w:cs="Arial"/>
              </w:rPr>
              <w:t xml:space="preserve">The U.S. Department of Education also issued a </w:t>
            </w:r>
            <w:hyperlink r:id="rId41" w:history="1">
              <w:r>
                <w:rPr>
                  <w:rStyle w:val="Hyperlink"/>
                  <w:rFonts w:cs="Arial"/>
                </w:rPr>
                <w:t>“Dear Colleague”</w:t>
              </w:r>
            </w:hyperlink>
            <w:r>
              <w:rPr>
                <w:rFonts w:cs="Arial"/>
              </w:rPr>
              <w:t xml:space="preserve"> letter (dated December 22, 2015) providing examples of actions that SEAs may take to meet this requirement.</w:t>
            </w:r>
          </w:p>
        </w:tc>
      </w:tr>
    </w:tbl>
    <w:p w14:paraId="35D7B886" w14:textId="77777777" w:rsidR="00F25E58" w:rsidRDefault="00F25E58">
      <w:pPr>
        <w:pStyle w:val="TableText"/>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
        <w:gridCol w:w="13"/>
        <w:gridCol w:w="8954"/>
      </w:tblGrid>
      <w:tr w:rsidR="00F25E58" w14:paraId="2BE49F81" w14:textId="77777777">
        <w:trPr>
          <w:trHeight w:val="432"/>
          <w:jc w:val="center"/>
        </w:trPr>
        <w:tc>
          <w:tcPr>
            <w:tcW w:w="9360" w:type="dxa"/>
            <w:gridSpan w:val="3"/>
            <w:shd w:val="clear" w:color="auto" w:fill="346094" w:themeFill="accent1"/>
          </w:tcPr>
          <w:p w14:paraId="2FCECEE9" w14:textId="77777777" w:rsidR="00F25E58" w:rsidRDefault="0098493D">
            <w:pPr>
              <w:pStyle w:val="TableHead"/>
            </w:pPr>
            <w:r>
              <w:rPr>
                <w:bCs w:val="0"/>
              </w:rPr>
              <w:t>IV.</w:t>
            </w:r>
            <w:r>
              <w:t xml:space="preserve"> SCHOOL IMPROVEMENT</w:t>
            </w:r>
          </w:p>
        </w:tc>
      </w:tr>
      <w:tr w:rsidR="00F25E58" w14:paraId="4B821D9B" w14:textId="77777777">
        <w:trPr>
          <w:jc w:val="center"/>
        </w:trPr>
        <w:tc>
          <w:tcPr>
            <w:tcW w:w="393" w:type="dxa"/>
            <w:shd w:val="clear" w:color="auto" w:fill="346094"/>
          </w:tcPr>
          <w:p w14:paraId="7CC7F00D" w14:textId="77777777" w:rsidR="00F25E58" w:rsidRDefault="0098493D">
            <w:pPr>
              <w:pStyle w:val="IconSpace"/>
              <w:keepNext/>
            </w:pPr>
            <w:r>
              <w:rPr>
                <w:noProof/>
              </w:rPr>
              <w:drawing>
                <wp:inline distT="0" distB="0" distL="0" distR="0" wp14:anchorId="7E3CA237" wp14:editId="7728128F">
                  <wp:extent cx="225425" cy="225425"/>
                  <wp:effectExtent l="0" t="0" r="3175" b="3175"/>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67" w:type="dxa"/>
            <w:gridSpan w:val="2"/>
            <w:shd w:val="clear" w:color="auto" w:fill="7F7F7F" w:themeFill="text1" w:themeFillTint="80"/>
          </w:tcPr>
          <w:p w14:paraId="1D511AE9" w14:textId="77777777" w:rsidR="00F25E58" w:rsidRDefault="0098493D">
            <w:pPr>
              <w:pStyle w:val="TableSubheading"/>
              <w:keepNext/>
            </w:pPr>
            <w:r>
              <w:t>IV. A. Comprehensive Support and Improvement Plans</w:t>
            </w:r>
          </w:p>
        </w:tc>
      </w:tr>
      <w:tr w:rsidR="00F25E58" w14:paraId="49649E20" w14:textId="77777777" w:rsidTr="002E4DE8">
        <w:trPr>
          <w:trHeight w:val="95"/>
          <w:jc w:val="center"/>
        </w:trPr>
        <w:tc>
          <w:tcPr>
            <w:tcW w:w="9360" w:type="dxa"/>
            <w:gridSpan w:val="3"/>
          </w:tcPr>
          <w:p w14:paraId="59B6AFA7" w14:textId="24078409" w:rsidR="00F25E58" w:rsidRDefault="0098493D">
            <w:pPr>
              <w:pStyle w:val="TableText"/>
              <w:rPr>
                <w:spacing w:val="-4"/>
              </w:rPr>
            </w:pPr>
            <w:r>
              <w:rPr>
                <w:spacing w:val="-4"/>
              </w:rPr>
              <w:t>For each comprehensive</w:t>
            </w:r>
            <w:r w:rsidR="004B79F9">
              <w:rPr>
                <w:spacing w:val="-4"/>
              </w:rPr>
              <w:t xml:space="preserve"> </w:t>
            </w:r>
            <w:r>
              <w:rPr>
                <w:spacing w:val="-4"/>
              </w:rPr>
              <w:t xml:space="preserve">support status school, an LEA receiving notification about the school must develop a comprehensive support and improvement plan (CSIP), in partnership with stakeholders, including principals and other school leaders, teachers, and parents, and to be approved by the </w:t>
            </w:r>
            <w:r w:rsidR="00967253">
              <w:rPr>
                <w:spacing w:val="-4"/>
              </w:rPr>
              <w:t>school, LEA</w:t>
            </w:r>
            <w:r w:rsidR="00D31EBB">
              <w:rPr>
                <w:spacing w:val="-4"/>
              </w:rPr>
              <w:t>,</w:t>
            </w:r>
            <w:r w:rsidR="00967253">
              <w:rPr>
                <w:spacing w:val="-4"/>
              </w:rPr>
              <w:t xml:space="preserve"> and </w:t>
            </w:r>
            <w:r>
              <w:rPr>
                <w:spacing w:val="-4"/>
              </w:rPr>
              <w:t>state, that:</w:t>
            </w:r>
          </w:p>
          <w:p w14:paraId="507D8C88" w14:textId="77777777" w:rsidR="00F25E58" w:rsidRDefault="0098493D">
            <w:pPr>
              <w:pStyle w:val="TableBullet1"/>
            </w:pPr>
            <w:r>
              <w:t>Is informed by all accountability indicators, including performance against long-term goals;</w:t>
            </w:r>
          </w:p>
          <w:p w14:paraId="7B8528B3" w14:textId="77777777" w:rsidR="00F25E58" w:rsidRDefault="0098493D">
            <w:pPr>
              <w:pStyle w:val="TableBullet1"/>
            </w:pPr>
            <w:r>
              <w:t>Includes one or more evidence-based interventions meeting Tier 1, 2, or 3 of ESSA’s evidence rigor tiers (see below);</w:t>
            </w:r>
          </w:p>
          <w:p w14:paraId="3E775F6D" w14:textId="6D393FF0" w:rsidR="00F25E58" w:rsidRDefault="0098493D">
            <w:pPr>
              <w:pStyle w:val="TableBullet1"/>
            </w:pPr>
            <w:r>
              <w:t>Is based on a school-level needs assessment</w:t>
            </w:r>
            <w:r w:rsidR="0027461B">
              <w:t>;</w:t>
            </w:r>
          </w:p>
          <w:p w14:paraId="0494B0F1" w14:textId="0B1E4364" w:rsidR="00F25E58" w:rsidRDefault="0098493D">
            <w:pPr>
              <w:pStyle w:val="TableBullet1"/>
            </w:pPr>
            <w:r>
              <w:t>Identifies and addresses resource inequities</w:t>
            </w:r>
            <w:r w:rsidRPr="00D31EBB">
              <w:rPr>
                <w:i/>
              </w:rPr>
              <w:t xml:space="preserve">; </w:t>
            </w:r>
            <w:r>
              <w:t>and</w:t>
            </w:r>
          </w:p>
          <w:p w14:paraId="5754C6F2" w14:textId="77777777" w:rsidR="00F25E58" w:rsidRDefault="0098493D">
            <w:pPr>
              <w:pStyle w:val="TableBullet1"/>
            </w:pPr>
            <w:r>
              <w:t>Is monitored and periodically reviewed by the SEA.</w:t>
            </w:r>
          </w:p>
          <w:p w14:paraId="6A6110FF" w14:textId="560092CB" w:rsidR="00F25E58" w:rsidRDefault="0098493D">
            <w:pPr>
              <w:pStyle w:val="TableText"/>
              <w:spacing w:before="120"/>
            </w:pPr>
            <w:r>
              <w:t xml:space="preserve">At least one intervention in each comprehensive and targeted </w:t>
            </w:r>
            <w:r w:rsidR="004B79F9">
              <w:t xml:space="preserve">support </w:t>
            </w:r>
            <w:r>
              <w:t>status school must demonstrate a statistically significant effect on improving student outcomes based on:</w:t>
            </w:r>
          </w:p>
          <w:p w14:paraId="28D5F3BC" w14:textId="77777777" w:rsidR="00F25E58" w:rsidRDefault="0098493D">
            <w:pPr>
              <w:pStyle w:val="TableBullet1"/>
            </w:pPr>
            <w:r>
              <w:t>Strong evidence from a well-designed and well-implemented experimental study (Tier 1);</w:t>
            </w:r>
          </w:p>
          <w:p w14:paraId="32F438C2" w14:textId="77777777" w:rsidR="00F25E58" w:rsidRDefault="0098493D">
            <w:pPr>
              <w:pStyle w:val="TableBullet1"/>
            </w:pPr>
            <w:r>
              <w:t>Moderate evidence from a well-designed and well-implemented quasi-experimental study (Tier 2); or</w:t>
            </w:r>
          </w:p>
          <w:p w14:paraId="5E322C90" w14:textId="77777777" w:rsidR="00F25E58" w:rsidRDefault="0098493D">
            <w:pPr>
              <w:pStyle w:val="TableBullet1"/>
              <w:spacing w:after="120"/>
              <w:ind w:left="245" w:hanging="245"/>
            </w:pPr>
            <w:r>
              <w:t>Promising evidence from a well-designed and well-implemented correlational study with statistical controls for selection bias (Tier 3).</w:t>
            </w:r>
          </w:p>
          <w:p w14:paraId="564FFBDB" w14:textId="598328DA" w:rsidR="00F25E58" w:rsidRDefault="0098493D">
            <w:pPr>
              <w:pStyle w:val="TableNote"/>
              <w:rPr>
                <w:rFonts w:eastAsia="Calibri"/>
                <w:i/>
                <w:u w:val="single"/>
              </w:rPr>
            </w:pPr>
            <w:r>
              <w:rPr>
                <w:rFonts w:eastAsia="Calibri"/>
                <w:i/>
                <w:u w:val="single"/>
              </w:rPr>
              <w:t>Note: States are not required to approve or monitor plans for Targeted Support schools; LEA requirements are included here for reference:</w:t>
            </w:r>
          </w:p>
          <w:p w14:paraId="557DD6CD" w14:textId="77777777" w:rsidR="00F25E58" w:rsidRDefault="0098493D">
            <w:pPr>
              <w:pStyle w:val="TableText"/>
              <w:ind w:left="243"/>
            </w:pPr>
            <w:r>
              <w:t>Each school identified for targeted assistance must develop a school-level targeted support and improvement plan (TSIP), in partnership with stakeholders (including principals and other school leaders, teachers, and parents), to be approved by the LEA, that:</w:t>
            </w:r>
          </w:p>
          <w:p w14:paraId="57A652EF" w14:textId="77777777" w:rsidR="00F25E58" w:rsidRDefault="0098493D">
            <w:pPr>
              <w:pStyle w:val="TableBullet1"/>
              <w:ind w:left="486"/>
            </w:pPr>
            <w:r>
              <w:t>Is informed by all accountability indicators, including performance against long-term goals;</w:t>
            </w:r>
          </w:p>
          <w:p w14:paraId="22C87A36" w14:textId="5DC2C2A9" w:rsidR="00F25E58" w:rsidRDefault="0098493D">
            <w:pPr>
              <w:pStyle w:val="TableBullet1"/>
              <w:ind w:left="486"/>
            </w:pPr>
            <w:r>
              <w:t xml:space="preserve">Includes one or more evidence-based interventions meeting Tier 1, 2, or 3 of ESSA’s evidence rigor tiers; </w:t>
            </w:r>
          </w:p>
          <w:p w14:paraId="000525DD" w14:textId="77777777" w:rsidR="00F25E58" w:rsidRDefault="0098493D">
            <w:pPr>
              <w:pStyle w:val="TableBullet1"/>
              <w:ind w:left="486"/>
            </w:pPr>
            <w:r>
              <w:t>Is approved by the LEA prior to implementation;</w:t>
            </w:r>
          </w:p>
          <w:p w14:paraId="608A4442" w14:textId="7806A6F9" w:rsidR="00F25E58" w:rsidRDefault="00405A03">
            <w:pPr>
              <w:pStyle w:val="TableBullet1"/>
              <w:ind w:left="486"/>
            </w:pPr>
            <w:r>
              <w:t xml:space="preserve">For any school operating a schoolwide program under Sec. 1114, addresses the needs identified in </w:t>
            </w:r>
            <w:r w:rsidR="00F807D7">
              <w:t xml:space="preserve">the </w:t>
            </w:r>
            <w:r w:rsidR="0098493D">
              <w:t>needs assessment</w:t>
            </w:r>
            <w:r>
              <w:t xml:space="preserve"> required under Sec. 1114(b)(6)</w:t>
            </w:r>
            <w:r w:rsidR="0098493D">
              <w:t>;</w:t>
            </w:r>
          </w:p>
          <w:p w14:paraId="068C9319" w14:textId="59F3D01E" w:rsidR="006C545E" w:rsidRDefault="006C545E">
            <w:pPr>
              <w:pStyle w:val="TableBullet1"/>
              <w:ind w:left="486"/>
            </w:pPr>
            <w:r>
              <w:t>For any school receiving additional targeted support, identifies and addresses resource inequities;</w:t>
            </w:r>
          </w:p>
          <w:p w14:paraId="336981ED" w14:textId="77777777" w:rsidR="00F25E58" w:rsidRDefault="0098493D">
            <w:pPr>
              <w:pStyle w:val="TableBullet1"/>
              <w:ind w:left="486"/>
            </w:pPr>
            <w:r>
              <w:t>Is monitored by the LEA; and</w:t>
            </w:r>
          </w:p>
          <w:p w14:paraId="71AA42A7" w14:textId="77777777" w:rsidR="00F25E58" w:rsidRDefault="0098493D">
            <w:pPr>
              <w:pStyle w:val="TableBullet1"/>
              <w:ind w:left="486"/>
              <w:rPr>
                <w:i/>
                <w:iCs/>
              </w:rPr>
            </w:pPr>
            <w:r>
              <w:t>Results in additional action by the LEA following unsuccessful implementation after a number of years determined by the LEA.</w:t>
            </w:r>
          </w:p>
          <w:p w14:paraId="2BCBED8A" w14:textId="54BB3854" w:rsidR="00F25E58" w:rsidRDefault="0098493D">
            <w:pPr>
              <w:pStyle w:val="TableText6above"/>
              <w:spacing w:after="120"/>
            </w:pPr>
            <w:r>
              <w:t>Sec. 1111(d)(1)(A)-(B)</w:t>
            </w:r>
          </w:p>
        </w:tc>
      </w:tr>
      <w:tr w:rsidR="00F25E58" w14:paraId="3ECE00C2" w14:textId="77777777">
        <w:trPr>
          <w:jc w:val="center"/>
        </w:trPr>
        <w:tc>
          <w:tcPr>
            <w:tcW w:w="406" w:type="dxa"/>
            <w:gridSpan w:val="2"/>
            <w:shd w:val="clear" w:color="auto" w:fill="346094"/>
            <w:vAlign w:val="center"/>
          </w:tcPr>
          <w:p w14:paraId="3413070B" w14:textId="77777777" w:rsidR="00F25E58" w:rsidRDefault="0098493D">
            <w:pPr>
              <w:pStyle w:val="IconSpace"/>
              <w:keepNext/>
            </w:pPr>
            <w:r>
              <w:rPr>
                <w:noProof/>
              </w:rPr>
              <w:lastRenderedPageBreak/>
              <w:drawing>
                <wp:inline distT="0" distB="0" distL="0" distR="0" wp14:anchorId="575CFE72" wp14:editId="259A370E">
                  <wp:extent cx="231775" cy="231775"/>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54" w:type="dxa"/>
            <w:shd w:val="clear" w:color="auto" w:fill="D1DEEF" w:themeFill="accent1" w:themeFillTint="33"/>
            <w:vAlign w:val="center"/>
          </w:tcPr>
          <w:p w14:paraId="59020D88" w14:textId="77777777" w:rsidR="00F25E58" w:rsidRDefault="0098493D">
            <w:pPr>
              <w:pStyle w:val="TableText"/>
              <w:keepNext/>
              <w:rPr>
                <w:b/>
              </w:rPr>
            </w:pPr>
            <w:r>
              <w:rPr>
                <w:b/>
              </w:rPr>
              <w:t>Shifts From NCLB</w:t>
            </w:r>
          </w:p>
        </w:tc>
      </w:tr>
      <w:tr w:rsidR="00F25E58" w14:paraId="18CBE915" w14:textId="77777777">
        <w:trPr>
          <w:trHeight w:val="1620"/>
          <w:jc w:val="center"/>
        </w:trPr>
        <w:tc>
          <w:tcPr>
            <w:tcW w:w="9360" w:type="dxa"/>
            <w:gridSpan w:val="3"/>
            <w:shd w:val="clear" w:color="auto" w:fill="F2F2F2" w:themeFill="background1" w:themeFillShade="F2"/>
          </w:tcPr>
          <w:p w14:paraId="7FFFF0F5" w14:textId="77777777" w:rsidR="00F25E58" w:rsidRDefault="0098493D">
            <w:pPr>
              <w:pStyle w:val="TableText"/>
            </w:pPr>
            <w:r>
              <w:t xml:space="preserve">NCLB prescribed a series of escalating actions in schools that miss AYP over consecutive years, which included improvement plans, provision of school choice and supplemental educational services, and educational and operational interventions. Schools must develop improvement plans under ESSA; however, SEAs, LEAs and schools have the flexibility to determine appropriate interventions, consistent with the requirements of evidence-based interventions aligned with Tiers 1, 2 and 3. For additional guidance see </w:t>
            </w:r>
            <w:hyperlink r:id="rId42" w:history="1">
              <w:r>
                <w:rPr>
                  <w:rStyle w:val="Hyperlink"/>
                </w:rPr>
                <w:t>Non-Regulatory Guidance: Using Evidence to Strengthen Education Investments</w:t>
              </w:r>
            </w:hyperlink>
            <w:r>
              <w:t xml:space="preserve">. </w:t>
            </w:r>
          </w:p>
        </w:tc>
      </w:tr>
      <w:tr w:rsidR="00F25E58" w14:paraId="260A8DC1" w14:textId="77777777">
        <w:trPr>
          <w:trHeight w:val="360"/>
          <w:jc w:val="center"/>
        </w:trPr>
        <w:tc>
          <w:tcPr>
            <w:tcW w:w="9360" w:type="dxa"/>
            <w:gridSpan w:val="3"/>
          </w:tcPr>
          <w:p w14:paraId="61B98AB1" w14:textId="77777777" w:rsidR="00F25E58" w:rsidRDefault="00F25E58">
            <w:pPr>
              <w:pStyle w:val="TableText"/>
            </w:pPr>
          </w:p>
        </w:tc>
      </w:tr>
      <w:tr w:rsidR="00F25E58" w14:paraId="3CEE75BC" w14:textId="77777777">
        <w:trPr>
          <w:jc w:val="center"/>
        </w:trPr>
        <w:tc>
          <w:tcPr>
            <w:tcW w:w="406" w:type="dxa"/>
            <w:gridSpan w:val="2"/>
            <w:shd w:val="clear" w:color="auto" w:fill="346094"/>
            <w:vAlign w:val="center"/>
          </w:tcPr>
          <w:p w14:paraId="7DECFCB3" w14:textId="77777777" w:rsidR="00F25E58" w:rsidRDefault="0098493D">
            <w:pPr>
              <w:pStyle w:val="IconSpace"/>
            </w:pPr>
            <w:r>
              <w:rPr>
                <w:noProof/>
              </w:rPr>
              <w:drawing>
                <wp:inline distT="0" distB="0" distL="0" distR="0" wp14:anchorId="283ECD2F" wp14:editId="0C52474A">
                  <wp:extent cx="237490" cy="23177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490" cy="231775"/>
                          </a:xfrm>
                          <a:prstGeom prst="rect">
                            <a:avLst/>
                          </a:prstGeom>
                          <a:noFill/>
                        </pic:spPr>
                      </pic:pic>
                    </a:graphicData>
                  </a:graphic>
                </wp:inline>
              </w:drawing>
            </w:r>
            <w:r>
              <w:t xml:space="preserve"> </w:t>
            </w:r>
          </w:p>
        </w:tc>
        <w:tc>
          <w:tcPr>
            <w:tcW w:w="8954" w:type="dxa"/>
            <w:shd w:val="clear" w:color="auto" w:fill="D1DEEF" w:themeFill="accent1" w:themeFillTint="33"/>
            <w:vAlign w:val="center"/>
          </w:tcPr>
          <w:p w14:paraId="07A76C32" w14:textId="77777777" w:rsidR="00F25E58" w:rsidRDefault="0098493D">
            <w:pPr>
              <w:pStyle w:val="TableText"/>
              <w:rPr>
                <w:b/>
              </w:rPr>
            </w:pPr>
            <w:r>
              <w:rPr>
                <w:b/>
                <w:spacing w:val="-4"/>
              </w:rPr>
              <w:t>Additional Resources</w:t>
            </w:r>
          </w:p>
        </w:tc>
      </w:tr>
      <w:tr w:rsidR="00F25E58" w14:paraId="1C07E13F" w14:textId="77777777">
        <w:trPr>
          <w:trHeight w:val="3285"/>
          <w:jc w:val="center"/>
        </w:trPr>
        <w:tc>
          <w:tcPr>
            <w:tcW w:w="9360" w:type="dxa"/>
            <w:gridSpan w:val="3"/>
            <w:shd w:val="clear" w:color="auto" w:fill="F2F2F2" w:themeFill="background1" w:themeFillShade="F2"/>
          </w:tcPr>
          <w:p w14:paraId="23277049" w14:textId="77777777" w:rsidR="00F25E58" w:rsidRDefault="0098493D">
            <w:pPr>
              <w:pStyle w:val="TableBullet1"/>
              <w:spacing w:before="40"/>
              <w:rPr>
                <w:rStyle w:val="Hyperlink"/>
                <w:rFonts w:eastAsia="Calibri"/>
                <w:szCs w:val="20"/>
              </w:rPr>
            </w:pPr>
            <w:r>
              <w:fldChar w:fldCharType="begin"/>
            </w:r>
            <w:r>
              <w:instrText>HYPERLINK "http://higheredforhigherstandards.org/wp-content/uploads/2016/09/HEHS-Leveraging-ESSA-09282016.pdf"</w:instrText>
            </w:r>
            <w:r>
              <w:fldChar w:fldCharType="separate"/>
            </w:r>
            <w:r>
              <w:rPr>
                <w:rStyle w:val="Hyperlink"/>
                <w:rFonts w:eastAsia="Calibri"/>
                <w:szCs w:val="20"/>
              </w:rPr>
              <w:t>Leveraging ESSA: Strategies to Support Students’ K–12 Postsecondary Transitions</w:t>
            </w:r>
            <w:r>
              <w:t xml:space="preserve"> (CCSSO, 2016)</w:t>
            </w:r>
          </w:p>
          <w:p w14:paraId="3B0B62D5" w14:textId="77777777" w:rsidR="00F25E58" w:rsidRDefault="0098493D">
            <w:pPr>
              <w:pStyle w:val="TableBullet1"/>
              <w:rPr>
                <w:rStyle w:val="Hyperlink"/>
                <w:rFonts w:eastAsia="Calibri"/>
                <w:szCs w:val="20"/>
              </w:rPr>
            </w:pPr>
            <w:r>
              <w:fldChar w:fldCharType="end"/>
            </w:r>
            <w:r>
              <w:fldChar w:fldCharType="begin"/>
            </w:r>
            <w:r>
              <w:instrText xml:space="preserve"> HYPERLINK "http://www.ccrscenter.org/sites/default/files/Improving%20College%20and%20Career%20Readiness%20by%20Incorporating%20Social%20and%20Emotional%20Learning_0.pdf" </w:instrText>
            </w:r>
            <w:r>
              <w:fldChar w:fldCharType="separate"/>
            </w:r>
            <w:r>
              <w:rPr>
                <w:rStyle w:val="Hyperlink"/>
                <w:rFonts w:eastAsia="Calibri"/>
                <w:szCs w:val="20"/>
              </w:rPr>
              <w:t>Improving College and Career Readiness by Incorporating Social and Emotional Learning</w:t>
            </w:r>
            <w:r>
              <w:rPr>
                <w:rStyle w:val="Hyperlink"/>
                <w:rFonts w:eastAsia="Calibri"/>
                <w:szCs w:val="20"/>
              </w:rPr>
              <w:br/>
            </w:r>
            <w:r>
              <w:t xml:space="preserve"> (CCRS Center, 2013)</w:t>
            </w:r>
          </w:p>
          <w:p w14:paraId="3EDB55B4" w14:textId="77777777" w:rsidR="00F25E58" w:rsidRDefault="0098493D">
            <w:pPr>
              <w:pStyle w:val="TableBullet1"/>
              <w:rPr>
                <w:rFonts w:eastAsia="Calibri"/>
                <w:szCs w:val="20"/>
              </w:rPr>
            </w:pPr>
            <w:r>
              <w:rPr>
                <w:rFonts w:eastAsia="Calibri"/>
                <w:szCs w:val="20"/>
              </w:rPr>
              <w:fldChar w:fldCharType="end"/>
            </w:r>
            <w:hyperlink r:id="rId43" w:history="1">
              <w:r>
                <w:rPr>
                  <w:rStyle w:val="Hyperlink"/>
                  <w:rFonts w:eastAsia="Calibri"/>
                  <w:szCs w:val="20"/>
                </w:rPr>
                <w:t>The District Role in Supporting College and Career Readiness for Students</w:t>
              </w:r>
              <w:r>
                <w:t xml:space="preserve"> (CCRS Center, 2013)</w:t>
              </w:r>
            </w:hyperlink>
            <w:r>
              <w:rPr>
                <w:rFonts w:eastAsia="Calibri"/>
                <w:color w:val="0563C1"/>
                <w:szCs w:val="20"/>
              </w:rPr>
              <w:t xml:space="preserve"> </w:t>
            </w:r>
          </w:p>
          <w:p w14:paraId="7F73A970" w14:textId="77777777" w:rsidR="00F25E58" w:rsidRDefault="0098493D">
            <w:pPr>
              <w:pStyle w:val="TableBullet1"/>
              <w:rPr>
                <w:rStyle w:val="Hyperlink"/>
                <w:rFonts w:eastAsia="Calibri"/>
                <w:szCs w:val="20"/>
              </w:rPr>
            </w:pPr>
            <w:r>
              <w:fldChar w:fldCharType="begin"/>
            </w:r>
            <w:r>
              <w:instrText xml:space="preserve"> HYPERLINK "https://cdn.americanprogress.org/wp-content/uploads/2016/08/30141500/EvidenceESSA-report.pdf" </w:instrText>
            </w:r>
            <w:r>
              <w:fldChar w:fldCharType="separate"/>
            </w:r>
            <w:r>
              <w:rPr>
                <w:rStyle w:val="Hyperlink"/>
                <w:rFonts w:eastAsia="Calibri"/>
                <w:szCs w:val="20"/>
              </w:rPr>
              <w:t>Better Evidence, Better Choices, Better Schools</w:t>
            </w:r>
            <w:r>
              <w:t xml:space="preserve"> (Center for American Progress, 2016)</w:t>
            </w:r>
          </w:p>
          <w:p w14:paraId="13381FBB" w14:textId="77777777" w:rsidR="00F25E58" w:rsidRDefault="0098493D">
            <w:pPr>
              <w:pStyle w:val="TableBullet1"/>
              <w:rPr>
                <w:rStyle w:val="Hyperlink"/>
                <w:rFonts w:eastAsia="Calibri"/>
                <w:szCs w:val="20"/>
                <w:u w:val="none"/>
              </w:rPr>
            </w:pPr>
            <w:r>
              <w:rPr>
                <w:rFonts w:eastAsia="Calibri"/>
                <w:szCs w:val="20"/>
              </w:rPr>
              <w:fldChar w:fldCharType="end"/>
            </w:r>
            <w:hyperlink r:id="rId44" w:history="1">
              <w:r>
                <w:rPr>
                  <w:rStyle w:val="Hyperlink"/>
                  <w:rFonts w:eastAsia="Calibri"/>
                  <w:szCs w:val="20"/>
                </w:rPr>
                <w:t>Advancing Equity Through ESSA</w:t>
              </w:r>
              <w:r>
                <w:t xml:space="preserve"> (CCSSO, 2016)</w:t>
              </w:r>
            </w:hyperlink>
          </w:p>
          <w:p w14:paraId="6B260E17" w14:textId="77777777" w:rsidR="00F25E58" w:rsidRDefault="0098493D">
            <w:pPr>
              <w:pStyle w:val="TableBullet1"/>
              <w:rPr>
                <w:rStyle w:val="Hyperlink"/>
                <w:rFonts w:eastAsia="Calibri"/>
                <w:szCs w:val="20"/>
              </w:rPr>
            </w:pPr>
            <w:r>
              <w:fldChar w:fldCharType="begin"/>
            </w:r>
            <w:r>
              <w:instrText xml:space="preserve"> HYPERLINK "http://www.nciea.org/publication_PDFs/Promoting%20Equity%20CSDMP110712.pdf" </w:instrText>
            </w:r>
            <w:r>
              <w:fldChar w:fldCharType="separate"/>
            </w:r>
            <w:r>
              <w:rPr>
                <w:rStyle w:val="Hyperlink"/>
                <w:rFonts w:eastAsia="Calibri"/>
                <w:szCs w:val="20"/>
              </w:rPr>
              <w:t>Promoting Equity in State Education Accountability Systems</w:t>
            </w:r>
            <w:r>
              <w:t xml:space="preserve"> (NCIEA/Center for Educational Testing and Evaluation, 2012)</w:t>
            </w:r>
          </w:p>
          <w:p w14:paraId="2DF77B4C" w14:textId="77777777" w:rsidR="00F25E58" w:rsidRDefault="0098493D">
            <w:pPr>
              <w:pStyle w:val="TableBullet1"/>
              <w:rPr>
                <w:rFonts w:eastAsia="Calibri"/>
                <w:color w:val="0563C1"/>
                <w:szCs w:val="20"/>
              </w:rPr>
            </w:pPr>
            <w:r>
              <w:rPr>
                <w:rFonts w:eastAsia="Calibri"/>
                <w:szCs w:val="20"/>
              </w:rPr>
              <w:fldChar w:fldCharType="end"/>
            </w:r>
            <w:hyperlink r:id="rId45" w:history="1">
              <w:r>
                <w:rPr>
                  <w:rStyle w:val="Hyperlink"/>
                  <w:rFonts w:eastAsia="Calibri"/>
                  <w:szCs w:val="20"/>
                </w:rPr>
                <w:t xml:space="preserve">Connecting Career and Technical Education With the College and Career Readiness Agenda </w:t>
              </w:r>
              <w:r>
                <w:t>(Achieve, 2010)</w:t>
              </w:r>
            </w:hyperlink>
          </w:p>
          <w:p w14:paraId="0A41DEAA" w14:textId="77777777" w:rsidR="00F25E58" w:rsidRDefault="001426BD">
            <w:pPr>
              <w:pStyle w:val="TableBullet1"/>
              <w:spacing w:after="40"/>
              <w:rPr>
                <w:rStyle w:val="Hyperlink"/>
                <w:rFonts w:eastAsia="Calibri"/>
                <w:color w:val="262626"/>
                <w:szCs w:val="20"/>
                <w:u w:val="none"/>
              </w:rPr>
            </w:pPr>
            <w:hyperlink r:id="rId46" w:history="1">
              <w:r w:rsidR="0098493D">
                <w:rPr>
                  <w:rStyle w:val="Hyperlink"/>
                  <w:rFonts w:eastAsia="Calibri"/>
                  <w:szCs w:val="20"/>
                </w:rPr>
                <w:t>What Works Clearinghouse</w:t>
              </w:r>
              <w:r w:rsidR="0098493D">
                <w:t xml:space="preserve"> (Institute for Educational Sciences, 2016)</w:t>
              </w:r>
            </w:hyperlink>
          </w:p>
        </w:tc>
      </w:tr>
    </w:tbl>
    <w:p w14:paraId="064C7D53" w14:textId="77777777" w:rsidR="002E4DE8" w:rsidRDefault="002E4DE8" w:rsidP="002E4DE8">
      <w:pPr>
        <w:pStyle w:val="TableText"/>
      </w:pPr>
    </w:p>
    <w:p w14:paraId="16381723" w14:textId="77777777" w:rsidR="002E4DE8" w:rsidRPr="002E4DE8" w:rsidRDefault="002E4DE8" w:rsidP="002E4DE8">
      <w:pPr>
        <w:pStyle w:val="TableText"/>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528DD1B0" w14:textId="77777777">
        <w:trPr>
          <w:jc w:val="center"/>
        </w:trPr>
        <w:tc>
          <w:tcPr>
            <w:tcW w:w="373" w:type="dxa"/>
            <w:shd w:val="clear" w:color="auto" w:fill="346094"/>
          </w:tcPr>
          <w:p w14:paraId="7558FE48" w14:textId="77777777" w:rsidR="00F25E58" w:rsidRDefault="0098493D">
            <w:pPr>
              <w:pStyle w:val="IconSpace"/>
            </w:pPr>
            <w:r>
              <w:rPr>
                <w:noProof/>
              </w:rPr>
              <w:drawing>
                <wp:inline distT="0" distB="0" distL="0" distR="0" wp14:anchorId="4B8592BC" wp14:editId="5E5B209E">
                  <wp:extent cx="225425" cy="225425"/>
                  <wp:effectExtent l="0" t="0" r="3175" b="317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7" w:type="dxa"/>
            <w:shd w:val="clear" w:color="auto" w:fill="7F7F7F" w:themeFill="text1" w:themeFillTint="80"/>
          </w:tcPr>
          <w:p w14:paraId="72200C89" w14:textId="77777777" w:rsidR="00F25E58" w:rsidRDefault="0098493D">
            <w:pPr>
              <w:pStyle w:val="TableSubheading"/>
            </w:pPr>
            <w:r>
              <w:t>IV. B. Required State Technical Assistance</w:t>
            </w:r>
          </w:p>
        </w:tc>
      </w:tr>
      <w:tr w:rsidR="00F25E58" w14:paraId="2F89F0B9" w14:textId="77777777" w:rsidTr="001B47CC">
        <w:trPr>
          <w:trHeight w:val="1494"/>
          <w:jc w:val="center"/>
        </w:trPr>
        <w:tc>
          <w:tcPr>
            <w:tcW w:w="9360" w:type="dxa"/>
            <w:gridSpan w:val="2"/>
          </w:tcPr>
          <w:p w14:paraId="25B238C3" w14:textId="77777777" w:rsidR="00F25E58" w:rsidRPr="00841B2A" w:rsidRDefault="0098493D">
            <w:pPr>
              <w:pStyle w:val="TableText"/>
            </w:pPr>
            <w:r w:rsidRPr="00841B2A">
              <w:t>Each state must:</w:t>
            </w:r>
          </w:p>
          <w:p w14:paraId="413852ED" w14:textId="2D4C0C88" w:rsidR="00F25E58" w:rsidRPr="00841B2A" w:rsidRDefault="0098493D">
            <w:pPr>
              <w:pStyle w:val="TableBullet1"/>
            </w:pPr>
            <w:r w:rsidRPr="00841B2A">
              <w:t>Provide technical assistance</w:t>
            </w:r>
            <w:r w:rsidR="0027461B" w:rsidRPr="00841B2A">
              <w:t xml:space="preserve"> </w:t>
            </w:r>
            <w:r w:rsidRPr="00841B2A">
              <w:t>to each LEA serving a significant number of comprehensive</w:t>
            </w:r>
            <w:r w:rsidR="004B79F9" w:rsidRPr="00841B2A">
              <w:t xml:space="preserve"> </w:t>
            </w:r>
            <w:r w:rsidRPr="00841B2A">
              <w:t>support</w:t>
            </w:r>
            <w:r w:rsidR="00D848CD" w:rsidRPr="00841B2A">
              <w:t xml:space="preserve"> schools</w:t>
            </w:r>
            <w:r w:rsidRPr="00841B2A">
              <w:t xml:space="preserve"> </w:t>
            </w:r>
            <w:r w:rsidR="00841B2A" w:rsidRPr="00090490">
              <w:t xml:space="preserve">or </w:t>
            </w:r>
            <w:r w:rsidR="00D848CD" w:rsidRPr="00841B2A">
              <w:t xml:space="preserve">a significant number of </w:t>
            </w:r>
            <w:r w:rsidRPr="00841B2A">
              <w:t>targeted</w:t>
            </w:r>
            <w:r w:rsidR="004B79F9" w:rsidRPr="00841B2A">
              <w:t xml:space="preserve"> </w:t>
            </w:r>
            <w:r w:rsidRPr="00841B2A">
              <w:t>support schools, and</w:t>
            </w:r>
          </w:p>
          <w:p w14:paraId="28D22FE1" w14:textId="760757DE" w:rsidR="00F25E58" w:rsidRPr="00841B2A" w:rsidRDefault="00841B2A">
            <w:pPr>
              <w:pStyle w:val="TableBullet1"/>
            </w:pPr>
            <w:r w:rsidRPr="00500AA5">
              <w:t>P</w:t>
            </w:r>
            <w:r w:rsidR="0098493D" w:rsidRPr="00500AA5">
              <w:t>eriodically review</w:t>
            </w:r>
            <w:r w:rsidRPr="00500AA5">
              <w:t xml:space="preserve"> resource allocation to support school improvement in </w:t>
            </w:r>
            <w:r w:rsidRPr="00090490">
              <w:t>each</w:t>
            </w:r>
            <w:r w:rsidR="0098493D" w:rsidRPr="00841B2A">
              <w:t xml:space="preserve"> LEA serving a significant number of comprehensive</w:t>
            </w:r>
            <w:r w:rsidR="004B79F9" w:rsidRPr="00841B2A">
              <w:t xml:space="preserve"> </w:t>
            </w:r>
            <w:r w:rsidR="0098493D" w:rsidRPr="00841B2A">
              <w:t xml:space="preserve">support </w:t>
            </w:r>
            <w:r w:rsidRPr="00090490">
              <w:t>and</w:t>
            </w:r>
            <w:r w:rsidR="0098493D" w:rsidRPr="00841B2A">
              <w:t xml:space="preserve"> targeted</w:t>
            </w:r>
            <w:r w:rsidR="004B79F9" w:rsidRPr="00841B2A">
              <w:t xml:space="preserve"> </w:t>
            </w:r>
            <w:r w:rsidR="0098493D" w:rsidRPr="00841B2A">
              <w:t>support schools</w:t>
            </w:r>
            <w:r w:rsidR="0098493D" w:rsidRPr="00841B2A">
              <w:rPr>
                <w:i/>
              </w:rPr>
              <w:t>.</w:t>
            </w:r>
          </w:p>
          <w:p w14:paraId="2283A627" w14:textId="55440BB5" w:rsidR="00F25E58" w:rsidRDefault="0098493D">
            <w:pPr>
              <w:pStyle w:val="TableText6above"/>
              <w:spacing w:after="120"/>
            </w:pPr>
            <w:r w:rsidRPr="00841B2A">
              <w:t>Sec. 1111(d)(3)(A)</w:t>
            </w:r>
          </w:p>
        </w:tc>
      </w:tr>
      <w:tr w:rsidR="00F25E58" w14:paraId="0CB6E247" w14:textId="77777777">
        <w:trPr>
          <w:jc w:val="center"/>
        </w:trPr>
        <w:tc>
          <w:tcPr>
            <w:tcW w:w="373" w:type="dxa"/>
            <w:shd w:val="clear" w:color="auto" w:fill="346094"/>
            <w:vAlign w:val="center"/>
          </w:tcPr>
          <w:p w14:paraId="59E4B8C8" w14:textId="77777777" w:rsidR="00F25E58" w:rsidRDefault="0098493D">
            <w:pPr>
              <w:pStyle w:val="IconSpace"/>
            </w:pPr>
            <w:r>
              <w:rPr>
                <w:noProof/>
              </w:rPr>
              <w:drawing>
                <wp:inline distT="0" distB="0" distL="0" distR="0" wp14:anchorId="68FF43EF" wp14:editId="23DE0F4D">
                  <wp:extent cx="231775" cy="23749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1775" cy="237490"/>
                          </a:xfrm>
                          <a:prstGeom prst="rect">
                            <a:avLst/>
                          </a:prstGeom>
                          <a:noFill/>
                        </pic:spPr>
                      </pic:pic>
                    </a:graphicData>
                  </a:graphic>
                </wp:inline>
              </w:drawing>
            </w:r>
          </w:p>
        </w:tc>
        <w:tc>
          <w:tcPr>
            <w:tcW w:w="8987" w:type="dxa"/>
            <w:shd w:val="clear" w:color="auto" w:fill="D1DEEF" w:themeFill="accent1" w:themeFillTint="33"/>
            <w:vAlign w:val="center"/>
          </w:tcPr>
          <w:p w14:paraId="3691A6C0"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09FE1DF2" w14:textId="77777777">
        <w:trPr>
          <w:trHeight w:val="333"/>
          <w:jc w:val="center"/>
        </w:trPr>
        <w:tc>
          <w:tcPr>
            <w:tcW w:w="9360" w:type="dxa"/>
            <w:gridSpan w:val="2"/>
            <w:shd w:val="clear" w:color="auto" w:fill="F2F2F2" w:themeFill="background1" w:themeFillShade="F2"/>
          </w:tcPr>
          <w:p w14:paraId="5F137F0E" w14:textId="372C49FC" w:rsidR="00F25E58" w:rsidRDefault="0098493D" w:rsidP="001D34F9">
            <w:pPr>
              <w:pStyle w:val="TableText"/>
            </w:pPr>
            <w:r>
              <w:t xml:space="preserve">Under NCLB, SEAs were required to provide support to LEAs that failed to make AYP for 2 consecutive years, and to schools in improvement status upon the school’s request. In addition, NCLB mandated statewide systems of support that met a number of requirements. ESSA mandates SEA intervention in those LEAs that serve high numbers of comprehensive </w:t>
            </w:r>
            <w:r w:rsidR="001D34F9">
              <w:t xml:space="preserve">and </w:t>
            </w:r>
            <w:r>
              <w:t>targeted support schools. SEAs may otherwise provide TA directly to schools only with LEA approval.</w:t>
            </w:r>
          </w:p>
        </w:tc>
      </w:tr>
      <w:tr w:rsidR="00F25E58" w14:paraId="58C4FF41" w14:textId="77777777">
        <w:trPr>
          <w:trHeight w:val="234"/>
          <w:jc w:val="center"/>
        </w:trPr>
        <w:tc>
          <w:tcPr>
            <w:tcW w:w="9360" w:type="dxa"/>
            <w:gridSpan w:val="2"/>
          </w:tcPr>
          <w:p w14:paraId="74CF88EE" w14:textId="77777777" w:rsidR="00F25E58" w:rsidRDefault="00F25E58">
            <w:pPr>
              <w:pStyle w:val="TableText"/>
            </w:pPr>
          </w:p>
        </w:tc>
      </w:tr>
      <w:tr w:rsidR="00F25E58" w14:paraId="0C844468" w14:textId="77777777">
        <w:trPr>
          <w:jc w:val="center"/>
        </w:trPr>
        <w:tc>
          <w:tcPr>
            <w:tcW w:w="373" w:type="dxa"/>
            <w:shd w:val="clear" w:color="auto" w:fill="346094"/>
            <w:vAlign w:val="center"/>
          </w:tcPr>
          <w:p w14:paraId="188156EE" w14:textId="77777777" w:rsidR="00F25E58" w:rsidRDefault="0098493D">
            <w:pPr>
              <w:pStyle w:val="IconSpace"/>
            </w:pPr>
            <w:r>
              <w:rPr>
                <w:noProof/>
              </w:rPr>
              <w:drawing>
                <wp:inline distT="0" distB="0" distL="0" distR="0" wp14:anchorId="18FDD0E5" wp14:editId="5C43A573">
                  <wp:extent cx="231775" cy="23177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7" w:type="dxa"/>
            <w:shd w:val="clear" w:color="auto" w:fill="D1DEEF" w:themeFill="accent1" w:themeFillTint="33"/>
            <w:vAlign w:val="center"/>
          </w:tcPr>
          <w:p w14:paraId="34F094AB"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1A8F92D8" w14:textId="77777777">
        <w:trPr>
          <w:trHeight w:val="513"/>
          <w:jc w:val="center"/>
        </w:trPr>
        <w:tc>
          <w:tcPr>
            <w:tcW w:w="9360" w:type="dxa"/>
            <w:gridSpan w:val="2"/>
            <w:shd w:val="clear" w:color="auto" w:fill="F2F2F2" w:themeFill="background1" w:themeFillShade="F2"/>
          </w:tcPr>
          <w:p w14:paraId="49410CEB" w14:textId="77777777" w:rsidR="00F25E58" w:rsidRDefault="001426BD">
            <w:pPr>
              <w:pStyle w:val="TableBullet1"/>
              <w:spacing w:before="40"/>
              <w:rPr>
                <w:rFonts w:eastAsia="Calibri"/>
                <w:szCs w:val="20"/>
              </w:rPr>
            </w:pPr>
            <w:hyperlink r:id="rId48" w:history="1">
              <w:r w:rsidR="0098493D">
                <w:rPr>
                  <w:rStyle w:val="Hyperlink"/>
                  <w:rFonts w:eastAsia="Calibri"/>
                  <w:szCs w:val="20"/>
                </w:rPr>
                <w:t>The State Role in School Turnaround</w:t>
              </w:r>
              <w:r w:rsidR="0098493D">
                <w:t xml:space="preserve"> (Center on School Turnaround, 2014)</w:t>
              </w:r>
            </w:hyperlink>
          </w:p>
          <w:p w14:paraId="5F99639E" w14:textId="77777777" w:rsidR="00F25E58" w:rsidRDefault="001426BD">
            <w:pPr>
              <w:pStyle w:val="TableBullet1"/>
              <w:spacing w:after="40"/>
            </w:pPr>
            <w:hyperlink r:id="rId49" w:history="1">
              <w:r w:rsidR="0098493D">
                <w:rPr>
                  <w:rStyle w:val="Hyperlink"/>
                  <w:rFonts w:eastAsia="Calibri"/>
                  <w:szCs w:val="20"/>
                </w:rPr>
                <w:t>7 Tenets for Sustainable School Turnaround</w:t>
              </w:r>
              <w:r w:rsidR="0098493D">
                <w:t xml:space="preserve"> (Center for American Progress, 2016)</w:t>
              </w:r>
            </w:hyperlink>
          </w:p>
        </w:tc>
      </w:tr>
    </w:tbl>
    <w:p w14:paraId="11013845" w14:textId="77777777" w:rsidR="00F25E58" w:rsidRDefault="00F25E58">
      <w:pPr>
        <w:pStyle w:val="TableText"/>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482C440C" w14:textId="77777777">
        <w:trPr>
          <w:jc w:val="center"/>
        </w:trPr>
        <w:tc>
          <w:tcPr>
            <w:tcW w:w="378" w:type="dxa"/>
            <w:shd w:val="clear" w:color="auto" w:fill="346094"/>
          </w:tcPr>
          <w:p w14:paraId="76D873B3" w14:textId="77777777" w:rsidR="00F25E58" w:rsidRDefault="0098493D" w:rsidP="00500AA5">
            <w:pPr>
              <w:pStyle w:val="IconSpace"/>
              <w:keepNext/>
            </w:pPr>
            <w:r>
              <w:rPr>
                <w:noProof/>
              </w:rPr>
              <w:lastRenderedPageBreak/>
              <w:drawing>
                <wp:inline distT="0" distB="0" distL="0" distR="0" wp14:anchorId="2A2F18D3" wp14:editId="6BD82DA4">
                  <wp:extent cx="225425" cy="225425"/>
                  <wp:effectExtent l="0" t="0" r="3175" b="3175"/>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68DB828D" w14:textId="77777777" w:rsidR="00F25E58" w:rsidRDefault="0098493D" w:rsidP="00500AA5">
            <w:pPr>
              <w:pStyle w:val="TableSubheading"/>
              <w:keepNext/>
            </w:pPr>
            <w:r>
              <w:t>IV. C. Optional State Technical Assistance</w:t>
            </w:r>
          </w:p>
        </w:tc>
      </w:tr>
      <w:tr w:rsidR="00F25E58" w14:paraId="262F9057" w14:textId="77777777" w:rsidTr="001B47CC">
        <w:trPr>
          <w:trHeight w:val="2250"/>
          <w:jc w:val="center"/>
        </w:trPr>
        <w:tc>
          <w:tcPr>
            <w:tcW w:w="9576" w:type="dxa"/>
            <w:gridSpan w:val="2"/>
          </w:tcPr>
          <w:p w14:paraId="653B5E9E" w14:textId="77777777" w:rsidR="00F25E58" w:rsidRDefault="0098493D" w:rsidP="002E4DE8">
            <w:pPr>
              <w:pStyle w:val="TableText"/>
              <w:spacing w:before="120"/>
            </w:pPr>
            <w:r>
              <w:t xml:space="preserve">States </w:t>
            </w:r>
            <w:r w:rsidRPr="004A6FF7">
              <w:t>may</w:t>
            </w:r>
            <w:r w:rsidRPr="0090520E">
              <w:t>:</w:t>
            </w:r>
          </w:p>
          <w:p w14:paraId="31A9C092" w14:textId="4D7DB61F" w:rsidR="00F25E58" w:rsidRDefault="0098493D">
            <w:pPr>
              <w:pStyle w:val="TableBullet1"/>
            </w:pPr>
            <w:r>
              <w:t xml:space="preserve">Take action to initiate additional improvements in any LEA with— </w:t>
            </w:r>
          </w:p>
          <w:p w14:paraId="584D6D77" w14:textId="77777777" w:rsidR="00F25E58" w:rsidRDefault="0098493D">
            <w:pPr>
              <w:pStyle w:val="TableBullet2"/>
            </w:pPr>
            <w:r>
              <w:t>A significant number of schools that are consistently identified for comprehensive support and not meeting exit criteria, or</w:t>
            </w:r>
          </w:p>
          <w:p w14:paraId="2D6D5290" w14:textId="77777777" w:rsidR="00F25E58" w:rsidRDefault="0098493D">
            <w:pPr>
              <w:pStyle w:val="TableBullet2"/>
            </w:pPr>
            <w:r>
              <w:t>A significant number of schools identified for targeted support.</w:t>
            </w:r>
          </w:p>
          <w:p w14:paraId="56051A1B" w14:textId="788A20E3" w:rsidR="00F25E58" w:rsidRDefault="0098493D">
            <w:pPr>
              <w:pStyle w:val="TableBullet1"/>
            </w:pPr>
            <w:r w:rsidRPr="00841B2A">
              <w:t xml:space="preserve">Establish </w:t>
            </w:r>
            <w:r w:rsidR="00841B2A" w:rsidRPr="00500AA5">
              <w:t>alternative</w:t>
            </w:r>
            <w:r w:rsidR="002E0960">
              <w:t>,</w:t>
            </w:r>
            <w:r w:rsidRPr="00841B2A">
              <w:t xml:space="preserve"> </w:t>
            </w:r>
            <w:r>
              <w:t xml:space="preserve">evidence-based </w:t>
            </w:r>
            <w:r w:rsidR="00134D6A">
              <w:t xml:space="preserve">strategies </w:t>
            </w:r>
            <w:r w:rsidR="00841B2A">
              <w:t xml:space="preserve">that can be used by LEAs to assist </w:t>
            </w:r>
            <w:r>
              <w:t xml:space="preserve">comprehensive and targeted support schools. </w:t>
            </w:r>
          </w:p>
          <w:p w14:paraId="1CC755B4" w14:textId="703FCFF9" w:rsidR="00F25E58" w:rsidRDefault="0098493D">
            <w:pPr>
              <w:pStyle w:val="TableText6above"/>
              <w:spacing w:after="120"/>
            </w:pPr>
            <w:r>
              <w:t>Sec. 1111(d)(3)(B)</w:t>
            </w:r>
          </w:p>
        </w:tc>
      </w:tr>
      <w:tr w:rsidR="00F25E58" w14:paraId="7EC0C7A0" w14:textId="77777777">
        <w:trPr>
          <w:jc w:val="center"/>
        </w:trPr>
        <w:tc>
          <w:tcPr>
            <w:tcW w:w="378" w:type="dxa"/>
            <w:shd w:val="clear" w:color="auto" w:fill="346094"/>
            <w:vAlign w:val="center"/>
          </w:tcPr>
          <w:p w14:paraId="09C12B0E" w14:textId="77777777" w:rsidR="00F25E58" w:rsidRDefault="0098493D">
            <w:pPr>
              <w:pStyle w:val="IconSpace"/>
            </w:pPr>
            <w:r>
              <w:rPr>
                <w:noProof/>
              </w:rPr>
              <w:drawing>
                <wp:inline distT="0" distB="0" distL="0" distR="0" wp14:anchorId="5F5BE85C" wp14:editId="63EDEDF5">
                  <wp:extent cx="231775" cy="231775"/>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529D7C92"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43A3F371" w14:textId="77777777">
        <w:trPr>
          <w:trHeight w:val="333"/>
          <w:jc w:val="center"/>
        </w:trPr>
        <w:tc>
          <w:tcPr>
            <w:tcW w:w="9576" w:type="dxa"/>
            <w:gridSpan w:val="2"/>
            <w:shd w:val="clear" w:color="auto" w:fill="F2F2F2" w:themeFill="background1" w:themeFillShade="F2"/>
          </w:tcPr>
          <w:p w14:paraId="44B7361E" w14:textId="77777777" w:rsidR="00F25E58" w:rsidRDefault="0098493D" w:rsidP="002E4DE8">
            <w:pPr>
              <w:pStyle w:val="TableText"/>
              <w:spacing w:before="120" w:after="120"/>
            </w:pPr>
            <w:r>
              <w:t>Under NCLB, states could similarly initiate appropriate improvement actions in LEAs that failed to improve the status of schools identified for improvement, corrective action, or restructuring.</w:t>
            </w:r>
          </w:p>
        </w:tc>
      </w:tr>
      <w:tr w:rsidR="00F25E58" w14:paraId="52A39D14" w14:textId="77777777">
        <w:trPr>
          <w:trHeight w:val="234"/>
          <w:jc w:val="center"/>
        </w:trPr>
        <w:tc>
          <w:tcPr>
            <w:tcW w:w="9576" w:type="dxa"/>
            <w:gridSpan w:val="2"/>
          </w:tcPr>
          <w:p w14:paraId="03BF0807" w14:textId="77777777" w:rsidR="00F25E58" w:rsidRDefault="00F25E58">
            <w:pPr>
              <w:pStyle w:val="TableText"/>
            </w:pPr>
          </w:p>
        </w:tc>
      </w:tr>
      <w:tr w:rsidR="00F25E58" w14:paraId="253CAE19" w14:textId="77777777">
        <w:trPr>
          <w:jc w:val="center"/>
        </w:trPr>
        <w:tc>
          <w:tcPr>
            <w:tcW w:w="378" w:type="dxa"/>
            <w:shd w:val="clear" w:color="auto" w:fill="346094"/>
            <w:vAlign w:val="center"/>
          </w:tcPr>
          <w:p w14:paraId="69CDEC5E" w14:textId="77777777" w:rsidR="00F25E58" w:rsidRDefault="0098493D">
            <w:pPr>
              <w:pStyle w:val="IconSpace"/>
            </w:pPr>
            <w:r>
              <w:rPr>
                <w:noProof/>
              </w:rPr>
              <w:drawing>
                <wp:inline distT="0" distB="0" distL="0" distR="0" wp14:anchorId="39CEB65B" wp14:editId="4A369F8B">
                  <wp:extent cx="231775" cy="231775"/>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9198" w:type="dxa"/>
            <w:shd w:val="clear" w:color="auto" w:fill="D1DEEF" w:themeFill="accent1" w:themeFillTint="33"/>
            <w:vAlign w:val="center"/>
          </w:tcPr>
          <w:p w14:paraId="1BF1C5C4"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22C5E20C" w14:textId="77777777">
        <w:trPr>
          <w:trHeight w:val="1170"/>
          <w:jc w:val="center"/>
        </w:trPr>
        <w:tc>
          <w:tcPr>
            <w:tcW w:w="9576" w:type="dxa"/>
            <w:gridSpan w:val="2"/>
            <w:shd w:val="clear" w:color="auto" w:fill="F2F2F2" w:themeFill="background1" w:themeFillShade="F2"/>
          </w:tcPr>
          <w:p w14:paraId="23EFA9E9" w14:textId="77777777" w:rsidR="00F25E58" w:rsidRDefault="001426BD" w:rsidP="002E4DE8">
            <w:pPr>
              <w:pStyle w:val="TableBullet1"/>
              <w:spacing w:before="120"/>
              <w:ind w:left="245" w:hanging="245"/>
            </w:pPr>
            <w:hyperlink r:id="rId50" w:history="1">
              <w:r w:rsidR="0098493D">
                <w:rPr>
                  <w:rStyle w:val="Hyperlink"/>
                  <w:szCs w:val="20"/>
                </w:rPr>
                <w:t>Assessing Strategies for State-Initiated Turnarounds</w:t>
              </w:r>
              <w:r w:rsidR="0098493D">
                <w:t xml:space="preserve"> (Center on Reinventing Public Education, 2016)</w:t>
              </w:r>
            </w:hyperlink>
          </w:p>
          <w:p w14:paraId="3C56054B" w14:textId="77777777" w:rsidR="00F25E58" w:rsidRDefault="0098493D">
            <w:pPr>
              <w:pStyle w:val="TableBullet1"/>
              <w:rPr>
                <w:rStyle w:val="Hyperlink"/>
                <w:rFonts w:eastAsia="Calibri"/>
              </w:rPr>
            </w:pPr>
            <w:r>
              <w:fldChar w:fldCharType="begin"/>
            </w:r>
            <w:r>
              <w:instrText xml:space="preserve"> HYPERLINK "http://www.ecs.org/ec-content/uploads/12139.pdf" </w:instrText>
            </w:r>
            <w:r>
              <w:fldChar w:fldCharType="separate"/>
            </w:r>
            <w:r>
              <w:rPr>
                <w:rStyle w:val="Hyperlink"/>
                <w:rFonts w:eastAsia="Calibri"/>
                <w:szCs w:val="20"/>
              </w:rPr>
              <w:t>Emerging State Turnaround Strategies</w:t>
            </w:r>
            <w:r>
              <w:t xml:space="preserve"> (ECS, 2016)</w:t>
            </w:r>
          </w:p>
          <w:p w14:paraId="4B15EA2F" w14:textId="77777777" w:rsidR="00F25E58" w:rsidRDefault="0098493D" w:rsidP="002E4DE8">
            <w:pPr>
              <w:pStyle w:val="TableBullet1"/>
              <w:spacing w:after="120"/>
              <w:ind w:left="245" w:hanging="245"/>
              <w:rPr>
                <w:rFonts w:eastAsia="Calibri"/>
              </w:rPr>
            </w:pPr>
            <w:r>
              <w:rPr>
                <w:rFonts w:eastAsia="Calibri"/>
                <w:szCs w:val="20"/>
              </w:rPr>
              <w:fldChar w:fldCharType="end"/>
            </w:r>
            <w:hyperlink r:id="rId51" w:history="1">
              <w:r>
                <w:rPr>
                  <w:rStyle w:val="Hyperlink"/>
                  <w:rFonts w:eastAsia="Calibri"/>
                  <w:szCs w:val="20"/>
                </w:rPr>
                <w:t>When and How School Closure and Charter Takeovers Benefit Students</w:t>
              </w:r>
              <w:r>
                <w:t xml:space="preserve"> (Education Research Alliance, 2016)</w:t>
              </w:r>
            </w:hyperlink>
          </w:p>
        </w:tc>
      </w:tr>
    </w:tbl>
    <w:p w14:paraId="0D7D585B" w14:textId="77777777" w:rsidR="002E4DE8" w:rsidRDefault="002E4DE8">
      <w:pPr>
        <w:pStyle w:val="TableText"/>
        <w:spacing w:before="0" w:after="120" w:line="240" w:lineRule="auto"/>
        <w:rPr>
          <w:rFonts w:eastAsiaTheme="minorHAnsi"/>
        </w:rPr>
      </w:pPr>
    </w:p>
    <w:p w14:paraId="2E73A62C" w14:textId="77777777" w:rsidR="002E4DE8" w:rsidRDefault="002E4DE8">
      <w:pPr>
        <w:pStyle w:val="TableText"/>
        <w:spacing w:before="0" w:after="120" w:line="240" w:lineRule="auto"/>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37374AC1" w14:textId="77777777">
        <w:trPr>
          <w:jc w:val="center"/>
        </w:trPr>
        <w:tc>
          <w:tcPr>
            <w:tcW w:w="378" w:type="dxa"/>
            <w:shd w:val="clear" w:color="auto" w:fill="346094"/>
          </w:tcPr>
          <w:p w14:paraId="1966B9B6" w14:textId="77777777" w:rsidR="00F25E58" w:rsidRDefault="0098493D">
            <w:pPr>
              <w:pStyle w:val="IconSpace"/>
            </w:pPr>
            <w:r>
              <w:rPr>
                <w:noProof/>
              </w:rPr>
              <w:drawing>
                <wp:inline distT="0" distB="0" distL="0" distR="0" wp14:anchorId="2C937336" wp14:editId="2FB79EAF">
                  <wp:extent cx="225425" cy="225425"/>
                  <wp:effectExtent l="0" t="0" r="3175" b="3175"/>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14EF30FE" w14:textId="77777777" w:rsidR="00F25E58" w:rsidRDefault="0098493D">
            <w:pPr>
              <w:pStyle w:val="TableSubheading"/>
              <w:keepNext/>
            </w:pPr>
            <w:r>
              <w:t>IV. D. Exit Criteria for Low-Performing Schools</w:t>
            </w:r>
          </w:p>
        </w:tc>
      </w:tr>
      <w:tr w:rsidR="00F25E58" w14:paraId="3093E41C" w14:textId="77777777" w:rsidTr="001B47CC">
        <w:trPr>
          <w:trHeight w:val="1080"/>
          <w:jc w:val="center"/>
        </w:trPr>
        <w:tc>
          <w:tcPr>
            <w:tcW w:w="9576" w:type="dxa"/>
            <w:gridSpan w:val="2"/>
          </w:tcPr>
          <w:p w14:paraId="5F3B96B8" w14:textId="77777777" w:rsidR="00F25E58" w:rsidRDefault="0098493D">
            <w:pPr>
              <w:pStyle w:val="TableText"/>
              <w:keepNext/>
            </w:pPr>
            <w:r>
              <w:t>Each state must establish exit criteria</w:t>
            </w:r>
            <w:r>
              <w:rPr>
                <w:b/>
              </w:rPr>
              <w:t xml:space="preserve"> </w:t>
            </w:r>
            <w:r>
              <w:t>for:</w:t>
            </w:r>
          </w:p>
          <w:p w14:paraId="0C11EB10" w14:textId="77777777" w:rsidR="00F25E58" w:rsidRDefault="0098493D">
            <w:pPr>
              <w:pStyle w:val="TableBullet1"/>
              <w:keepNext/>
            </w:pPr>
            <w:r>
              <w:t>Schools receiving comprehensive support, which, if not satisfied after a state-determined number of years not to exceed 4 years, shall result in more rigorous, state-determined action, and</w:t>
            </w:r>
          </w:p>
          <w:p w14:paraId="26736C9A" w14:textId="77777777" w:rsidR="00F25E58" w:rsidRDefault="0098493D">
            <w:pPr>
              <w:pStyle w:val="TableBullet1"/>
              <w:keepNext/>
            </w:pPr>
            <w:r>
              <w:t>Schools identified for additional targeted support, which, if not satisfied after a state-determined numbers of years, shall result in identification for comprehensive support.</w:t>
            </w:r>
          </w:p>
          <w:p w14:paraId="0E3C0B8D" w14:textId="021F1B7A" w:rsidR="00F25E58" w:rsidRDefault="0098493D">
            <w:pPr>
              <w:pStyle w:val="TableText6above"/>
              <w:keepNext/>
              <w:spacing w:after="120"/>
            </w:pPr>
            <w:r>
              <w:t>Sec. 1111(d)(3)(A)(i)</w:t>
            </w:r>
          </w:p>
        </w:tc>
      </w:tr>
      <w:tr w:rsidR="00F25E58" w14:paraId="7945D280" w14:textId="77777777">
        <w:trPr>
          <w:jc w:val="center"/>
        </w:trPr>
        <w:tc>
          <w:tcPr>
            <w:tcW w:w="378" w:type="dxa"/>
            <w:shd w:val="clear" w:color="auto" w:fill="346094"/>
            <w:vAlign w:val="center"/>
          </w:tcPr>
          <w:p w14:paraId="34A2CF61" w14:textId="77777777" w:rsidR="00F25E58" w:rsidRDefault="0098493D">
            <w:pPr>
              <w:pStyle w:val="IconSpace"/>
            </w:pPr>
            <w:r>
              <w:rPr>
                <w:noProof/>
              </w:rPr>
              <w:drawing>
                <wp:inline distT="0" distB="0" distL="0" distR="0" wp14:anchorId="324F5EAA" wp14:editId="29EF775A">
                  <wp:extent cx="231775" cy="231775"/>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64FA8178"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2BD3A262" w14:textId="77777777">
        <w:trPr>
          <w:trHeight w:val="333"/>
          <w:jc w:val="center"/>
        </w:trPr>
        <w:tc>
          <w:tcPr>
            <w:tcW w:w="9576" w:type="dxa"/>
            <w:gridSpan w:val="2"/>
            <w:shd w:val="clear" w:color="auto" w:fill="F2F2F2" w:themeFill="background1" w:themeFillShade="F2"/>
          </w:tcPr>
          <w:p w14:paraId="06A966A6" w14:textId="565BA18F" w:rsidR="00F25E58" w:rsidRDefault="0098493D" w:rsidP="002E4DE8">
            <w:pPr>
              <w:pStyle w:val="TableText"/>
              <w:spacing w:before="120" w:after="120"/>
            </w:pPr>
            <w:r>
              <w:rPr>
                <w:rFonts w:cs="Arial"/>
              </w:rPr>
              <w:t>Under NCLB, schools exited improvement status by meeting requirements for AYP. Under ESSA, states have flexibility in defining exit criteria for comprehensive status and additional targeted</w:t>
            </w:r>
            <w:r w:rsidR="00912610">
              <w:rPr>
                <w:rFonts w:cs="Arial"/>
              </w:rPr>
              <w:t xml:space="preserve"> </w:t>
            </w:r>
            <w:r>
              <w:rPr>
                <w:rFonts w:cs="Arial"/>
              </w:rPr>
              <w:t>support status schools, and LEAs define exit criteria for targeted</w:t>
            </w:r>
            <w:r w:rsidR="00912610">
              <w:rPr>
                <w:rFonts w:cs="Arial"/>
              </w:rPr>
              <w:t xml:space="preserve"> </w:t>
            </w:r>
            <w:r>
              <w:rPr>
                <w:rFonts w:cs="Arial"/>
              </w:rPr>
              <w:t>support status schools.</w:t>
            </w:r>
          </w:p>
        </w:tc>
      </w:tr>
    </w:tbl>
    <w:p w14:paraId="7109464A" w14:textId="77777777" w:rsidR="00F25E58" w:rsidRDefault="00F25E58">
      <w:pPr>
        <w:pStyle w:val="TableText"/>
      </w:pPr>
    </w:p>
    <w:p w14:paraId="61F5F299" w14:textId="77777777" w:rsidR="002E4DE8" w:rsidRDefault="002E4DE8">
      <w:pPr>
        <w:pStyle w:val="TableText"/>
      </w:pPr>
    </w:p>
    <w:p w14:paraId="0BDA8A09" w14:textId="77777777" w:rsidR="00F25E58" w:rsidRDefault="00F25E58">
      <w:pPr>
        <w:pStyle w:val="TableText"/>
      </w:pPr>
    </w:p>
    <w:p w14:paraId="1B5831BF" w14:textId="77777777" w:rsidR="002E4DE8" w:rsidRDefault="002E4DE8">
      <w:pPr>
        <w:pStyle w:val="TableText"/>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
        <w:gridCol w:w="13"/>
        <w:gridCol w:w="8954"/>
      </w:tblGrid>
      <w:tr w:rsidR="00F25E58" w14:paraId="203C75CE" w14:textId="77777777">
        <w:trPr>
          <w:trHeight w:val="432"/>
          <w:jc w:val="center"/>
        </w:trPr>
        <w:tc>
          <w:tcPr>
            <w:tcW w:w="8352" w:type="dxa"/>
            <w:gridSpan w:val="3"/>
            <w:shd w:val="clear" w:color="auto" w:fill="346094" w:themeFill="accent1"/>
          </w:tcPr>
          <w:p w14:paraId="59EE2634" w14:textId="77777777" w:rsidR="00F25E58" w:rsidRDefault="0098493D">
            <w:pPr>
              <w:pStyle w:val="TableHead"/>
            </w:pPr>
            <w:r>
              <w:rPr>
                <w:bCs w:val="0"/>
              </w:rPr>
              <w:lastRenderedPageBreak/>
              <w:t>V.</w:t>
            </w:r>
            <w:r>
              <w:t xml:space="preserve"> PUBLIC REPORTING</w:t>
            </w:r>
          </w:p>
        </w:tc>
      </w:tr>
      <w:tr w:rsidR="00F25E58" w14:paraId="0C576992" w14:textId="77777777">
        <w:trPr>
          <w:jc w:val="center"/>
        </w:trPr>
        <w:tc>
          <w:tcPr>
            <w:tcW w:w="350" w:type="dxa"/>
            <w:shd w:val="clear" w:color="auto" w:fill="346094"/>
          </w:tcPr>
          <w:p w14:paraId="4A801C4E" w14:textId="77777777" w:rsidR="00F25E58" w:rsidRDefault="0098493D">
            <w:pPr>
              <w:pStyle w:val="IconSpace"/>
            </w:pPr>
            <w:r>
              <w:rPr>
                <w:noProof/>
              </w:rPr>
              <w:drawing>
                <wp:inline distT="0" distB="0" distL="0" distR="0" wp14:anchorId="62C27822" wp14:editId="59879248">
                  <wp:extent cx="225425" cy="237490"/>
                  <wp:effectExtent l="0" t="0" r="3175"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pic:spPr>
                      </pic:pic>
                    </a:graphicData>
                  </a:graphic>
                </wp:inline>
              </w:drawing>
            </w:r>
          </w:p>
        </w:tc>
        <w:tc>
          <w:tcPr>
            <w:tcW w:w="8002" w:type="dxa"/>
            <w:gridSpan w:val="2"/>
            <w:shd w:val="clear" w:color="auto" w:fill="7F7F7F" w:themeFill="text1" w:themeFillTint="80"/>
          </w:tcPr>
          <w:p w14:paraId="2FCAA637" w14:textId="77777777" w:rsidR="00F25E58" w:rsidRDefault="0098493D">
            <w:pPr>
              <w:pStyle w:val="TableSubheading"/>
            </w:pPr>
            <w:r>
              <w:t>V. A. Annual State Report Card</w:t>
            </w:r>
          </w:p>
        </w:tc>
      </w:tr>
      <w:tr w:rsidR="00F25E58" w14:paraId="78536739" w14:textId="77777777">
        <w:trPr>
          <w:trHeight w:val="5310"/>
          <w:jc w:val="center"/>
        </w:trPr>
        <w:tc>
          <w:tcPr>
            <w:tcW w:w="8352" w:type="dxa"/>
            <w:gridSpan w:val="3"/>
          </w:tcPr>
          <w:p w14:paraId="1079B47F" w14:textId="77777777" w:rsidR="00F25E58" w:rsidRDefault="0098493D">
            <w:pPr>
              <w:pStyle w:val="TableText"/>
              <w:rPr>
                <w:spacing w:val="-4"/>
              </w:rPr>
            </w:pPr>
            <w:r>
              <w:rPr>
                <w:spacing w:val="-4"/>
              </w:rPr>
              <w:t xml:space="preserve">Each state must disseminate (annually and widely to the public, including availability </w:t>
            </w:r>
            <w:r w:rsidRPr="00144F0B">
              <w:rPr>
                <w:spacing w:val="-4"/>
              </w:rPr>
              <w:t>on a single webpage):</w:t>
            </w:r>
          </w:p>
          <w:p w14:paraId="280E374B" w14:textId="77777777" w:rsidR="00F25E58" w:rsidRDefault="0098493D">
            <w:pPr>
              <w:pStyle w:val="TableBullet1"/>
            </w:pPr>
            <w:r>
              <w:t>The state report card (developed in consultation with parents and, to the extent practicable, written in a language that parents can understand);</w:t>
            </w:r>
          </w:p>
          <w:p w14:paraId="446BF2D7" w14:textId="77777777" w:rsidR="00F25E58" w:rsidRDefault="0098493D">
            <w:pPr>
              <w:pStyle w:val="TableBullet1"/>
            </w:pPr>
            <w:r>
              <w:t>All of the LEA annual report cards; and</w:t>
            </w:r>
          </w:p>
          <w:p w14:paraId="7C4FFD97" w14:textId="77777777" w:rsidR="00F25E58" w:rsidRDefault="0098493D">
            <w:pPr>
              <w:pStyle w:val="TableBullet1"/>
            </w:pPr>
            <w:r>
              <w:t>The annual report to the Secretary.</w:t>
            </w:r>
          </w:p>
          <w:p w14:paraId="23C081BE" w14:textId="77777777" w:rsidR="00F25E58" w:rsidRDefault="0098493D">
            <w:pPr>
              <w:pStyle w:val="TableText6above"/>
            </w:pPr>
            <w:r>
              <w:t xml:space="preserve">The annual state report card must contain the following elements: </w:t>
            </w:r>
          </w:p>
          <w:p w14:paraId="2B3E217A" w14:textId="77777777" w:rsidR="00F25E58" w:rsidRDefault="0098493D">
            <w:pPr>
              <w:pStyle w:val="TableBullet1"/>
            </w:pPr>
            <w:r>
              <w:t>A clear and concise description of the state’s accountability system; and</w:t>
            </w:r>
          </w:p>
          <w:p w14:paraId="09971BCB" w14:textId="77777777" w:rsidR="00F25E58" w:rsidRDefault="0098493D">
            <w:pPr>
              <w:pStyle w:val="TableBullet1"/>
            </w:pPr>
            <w:r>
              <w:t>For all students and subgroups</w:t>
            </w:r>
            <w:r>
              <w:rPr>
                <w:rStyle w:val="FootnoteReference"/>
              </w:rPr>
              <w:footnoteReference w:id="3"/>
            </w:r>
            <w:r>
              <w:t>:</w:t>
            </w:r>
          </w:p>
          <w:p w14:paraId="0511DF64" w14:textId="77777777" w:rsidR="00F25E58" w:rsidRDefault="0098493D">
            <w:pPr>
              <w:pStyle w:val="TableBullet2"/>
            </w:pPr>
            <w:r>
              <w:t>Performance-level results on statewide assessments and all other federally required indicators of the accountability system;</w:t>
            </w:r>
          </w:p>
          <w:p w14:paraId="19B3ABFD" w14:textId="77777777" w:rsidR="00F25E58" w:rsidRDefault="0098493D">
            <w:pPr>
              <w:pStyle w:val="TableBullet2"/>
            </w:pPr>
            <w:r>
              <w:t>Progress toward meeting long-term goals;</w:t>
            </w:r>
          </w:p>
          <w:p w14:paraId="1CD9C647" w14:textId="77777777" w:rsidR="00F25E58" w:rsidRDefault="0098493D">
            <w:pPr>
              <w:pStyle w:val="TableBullet2"/>
            </w:pPr>
            <w:r>
              <w:t>Percentage of students assessed and not assessed;</w:t>
            </w:r>
          </w:p>
          <w:p w14:paraId="69986290" w14:textId="77777777" w:rsidR="00F25E58" w:rsidRDefault="0098493D">
            <w:pPr>
              <w:pStyle w:val="TableBullet2"/>
            </w:pPr>
            <w:r>
              <w:t>Measures of school quality, climate, and safety, including rates of in-school suspensions, out-of-school suspensions, expulsions, school-related arrests, referrals to law enforcement, chronic absenteeism, and incidents of violence, including bullying and harassment;</w:t>
            </w:r>
          </w:p>
          <w:p w14:paraId="160A272D" w14:textId="77777777" w:rsidR="00F25E58" w:rsidRDefault="0098493D">
            <w:pPr>
              <w:pStyle w:val="TableBullet2"/>
            </w:pPr>
            <w:r>
              <w:t>Number and percentage of students enrolled in preschool programs;</w:t>
            </w:r>
          </w:p>
          <w:p w14:paraId="1E8D9C4D" w14:textId="77777777" w:rsidR="00F25E58" w:rsidRDefault="0098493D">
            <w:pPr>
              <w:pStyle w:val="TableBullet2"/>
              <w:keepNext/>
            </w:pPr>
            <w:r>
              <w:t>Number and percentage of students enrolled in accelerated coursework, including Advanced Placement (AP)</w:t>
            </w:r>
            <w:r>
              <w:rPr>
                <w:rStyle w:val="FootnoteReference"/>
                <w:rFonts w:ascii="Arial" w:hAnsi="Arial" w:cs="Arial"/>
              </w:rPr>
              <w:footnoteReference w:id="4"/>
            </w:r>
            <w:r>
              <w:t xml:space="preserve"> or International Baccalaureate (IB), or dual or concurrent enrollment programs;</w:t>
            </w:r>
          </w:p>
          <w:p w14:paraId="39B1FD3B" w14:textId="77777777" w:rsidR="00F25E58" w:rsidRDefault="0098493D">
            <w:pPr>
              <w:pStyle w:val="TableBullet2"/>
            </w:pPr>
            <w:r>
              <w:t>Homeless status;</w:t>
            </w:r>
          </w:p>
          <w:p w14:paraId="7C4C904E" w14:textId="77777777" w:rsidR="00F25E58" w:rsidRDefault="0098493D">
            <w:pPr>
              <w:pStyle w:val="TableBullet2"/>
            </w:pPr>
            <w:r>
              <w:t>Foster care status; and</w:t>
            </w:r>
          </w:p>
          <w:p w14:paraId="2048F24E" w14:textId="77777777" w:rsidR="00F25E58" w:rsidRDefault="0098493D">
            <w:pPr>
              <w:pStyle w:val="TableBullet2"/>
            </w:pPr>
            <w:r>
              <w:t>Status as a student with a parent in the Armed Forces on active duty.</w:t>
            </w:r>
          </w:p>
          <w:p w14:paraId="29845874" w14:textId="77777777" w:rsidR="00F25E58" w:rsidRDefault="0098493D">
            <w:pPr>
              <w:pStyle w:val="TableBullet1"/>
            </w:pPr>
            <w:r>
              <w:t>Professional qualifications of teachers in the state, including number and percentage of:</w:t>
            </w:r>
          </w:p>
          <w:p w14:paraId="554223DE" w14:textId="77777777" w:rsidR="00F25E58" w:rsidRDefault="0098493D">
            <w:pPr>
              <w:pStyle w:val="TableBullet2"/>
            </w:pPr>
            <w:r>
              <w:t>Inexperienced teachers, principals, and other school leaders;</w:t>
            </w:r>
          </w:p>
          <w:p w14:paraId="6566F1A9" w14:textId="77777777" w:rsidR="00F25E58" w:rsidRDefault="0098493D">
            <w:pPr>
              <w:pStyle w:val="TableBullet2"/>
            </w:pPr>
            <w:r>
              <w:t>Teachers teaching with emergency or provisional credentials; and</w:t>
            </w:r>
          </w:p>
          <w:p w14:paraId="3951BD75" w14:textId="77777777" w:rsidR="00F25E58" w:rsidRDefault="0098493D">
            <w:pPr>
              <w:pStyle w:val="TableBullet2"/>
            </w:pPr>
            <w:r>
              <w:t>Out-of-subject or out-of-field teachers.</w:t>
            </w:r>
          </w:p>
          <w:p w14:paraId="0FDDFBE9" w14:textId="77777777" w:rsidR="00F25E58" w:rsidRDefault="0098493D">
            <w:pPr>
              <w:pStyle w:val="TableBullet1"/>
            </w:pPr>
            <w:r>
              <w:t>Per-pupil expenditures of federal, state, and local funds;</w:t>
            </w:r>
          </w:p>
          <w:p w14:paraId="5215DB48" w14:textId="77777777" w:rsidR="00F25E58" w:rsidRDefault="0098493D">
            <w:pPr>
              <w:pStyle w:val="TableBullet1"/>
            </w:pPr>
            <w:r>
              <w:t>Number of students taking alternate assessments;</w:t>
            </w:r>
          </w:p>
          <w:p w14:paraId="2B8A377E" w14:textId="77777777" w:rsidR="00F25E58" w:rsidRDefault="0098493D">
            <w:pPr>
              <w:pStyle w:val="TableBullet1"/>
            </w:pPr>
            <w:r>
              <w:t>National Assessment of Educational Progress results, compared to national average;</w:t>
            </w:r>
          </w:p>
          <w:p w14:paraId="707FAA8C" w14:textId="77777777" w:rsidR="00F25E58" w:rsidRDefault="0098493D">
            <w:pPr>
              <w:pStyle w:val="TableBullet1"/>
            </w:pPr>
            <w:r>
              <w:t>College-going rate within 1 year of graduation, where available; and</w:t>
            </w:r>
          </w:p>
          <w:p w14:paraId="6CBEAB87" w14:textId="77777777" w:rsidR="00F25E58" w:rsidRDefault="0098493D">
            <w:pPr>
              <w:pStyle w:val="TableBullet1"/>
            </w:pPr>
            <w:r>
              <w:t>Any other information useful to parents, which may include CTE proficiency attainment.</w:t>
            </w:r>
          </w:p>
          <w:p w14:paraId="69C73ED2" w14:textId="77777777" w:rsidR="00F25E58" w:rsidRDefault="0098493D">
            <w:pPr>
              <w:pStyle w:val="TableText6above"/>
            </w:pPr>
            <w:r>
              <w:t>Sec. 1111(h)(1)</w:t>
            </w:r>
          </w:p>
          <w:p w14:paraId="1BC1E3F8" w14:textId="7EB635BF" w:rsidR="00F25E58" w:rsidRDefault="0098493D" w:rsidP="00206460">
            <w:pPr>
              <w:pStyle w:val="TableText6above"/>
            </w:pPr>
            <w:r>
              <w:rPr>
                <w:i/>
              </w:rPr>
              <w:t>See Sec. 1111(h</w:t>
            </w:r>
            <w:proofErr w:type="gramStart"/>
            <w:r w:rsidR="0017615C">
              <w:rPr>
                <w:i/>
              </w:rPr>
              <w:t>)(</w:t>
            </w:r>
            <w:proofErr w:type="gramEnd"/>
            <w:r>
              <w:rPr>
                <w:i/>
              </w:rPr>
              <w:t>2) for requirements regarding the contents of LEA report cards.</w:t>
            </w:r>
          </w:p>
        </w:tc>
      </w:tr>
      <w:tr w:rsidR="00F25E58" w14:paraId="0B72D4D1" w14:textId="77777777">
        <w:trPr>
          <w:jc w:val="center"/>
        </w:trPr>
        <w:tc>
          <w:tcPr>
            <w:tcW w:w="362" w:type="dxa"/>
            <w:gridSpan w:val="2"/>
            <w:shd w:val="clear" w:color="auto" w:fill="346094"/>
            <w:vAlign w:val="center"/>
          </w:tcPr>
          <w:p w14:paraId="32ABF683" w14:textId="77777777" w:rsidR="00F25E58" w:rsidRDefault="0098493D">
            <w:pPr>
              <w:pStyle w:val="IconSpace"/>
              <w:keepNext/>
            </w:pPr>
            <w:r>
              <w:rPr>
                <w:noProof/>
              </w:rPr>
              <w:lastRenderedPageBreak/>
              <w:drawing>
                <wp:inline distT="0" distB="0" distL="0" distR="0" wp14:anchorId="4103BD81" wp14:editId="4789E68A">
                  <wp:extent cx="231775" cy="231775"/>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7990" w:type="dxa"/>
            <w:shd w:val="clear" w:color="auto" w:fill="D1DEEF" w:themeFill="accent1" w:themeFillTint="33"/>
            <w:vAlign w:val="center"/>
          </w:tcPr>
          <w:p w14:paraId="0A1CBC5C" w14:textId="77777777" w:rsidR="00F25E58" w:rsidRDefault="0098493D">
            <w:pPr>
              <w:pStyle w:val="TableText"/>
              <w:keepNext/>
              <w:rPr>
                <w:b/>
              </w:rPr>
            </w:pPr>
            <w:r>
              <w:rPr>
                <w:b/>
              </w:rPr>
              <w:t>Shifts From NCLB</w:t>
            </w:r>
          </w:p>
        </w:tc>
      </w:tr>
      <w:tr w:rsidR="00F25E58" w14:paraId="709BDC13" w14:textId="77777777">
        <w:trPr>
          <w:trHeight w:val="333"/>
          <w:jc w:val="center"/>
        </w:trPr>
        <w:tc>
          <w:tcPr>
            <w:tcW w:w="8352" w:type="dxa"/>
            <w:gridSpan w:val="3"/>
            <w:shd w:val="clear" w:color="auto" w:fill="F2F2F2" w:themeFill="background1" w:themeFillShade="F2"/>
          </w:tcPr>
          <w:p w14:paraId="4F5AFCAA" w14:textId="77777777" w:rsidR="00F25E58" w:rsidRDefault="0098493D">
            <w:pPr>
              <w:pStyle w:val="TableText"/>
              <w:keepNext/>
            </w:pPr>
            <w:r>
              <w:t xml:space="preserve">NCLB required that state report cards contain a description of the accountability system, aggregate performance results for schools on all required measures, AYP and improvement status of all schools, percentage of students not taking statewide tests, and teacher qualifications. All other requirements noted above are introduced by ESSA. ESSA also adjusts the teacher qualifications that must be reported, including eliminating “highly qualified teacher” determinations. For additional guidance, see </w:t>
            </w:r>
            <w:hyperlink r:id="rId53" w:history="1">
              <w:r>
                <w:rPr>
                  <w:rStyle w:val="Hyperlink"/>
                </w:rPr>
                <w:t>Every Student Succeeds Act State and Local Report Cards Non-Regulatory Guidance</w:t>
              </w:r>
            </w:hyperlink>
            <w:r>
              <w:t xml:space="preserve">. </w:t>
            </w:r>
          </w:p>
        </w:tc>
      </w:tr>
      <w:tr w:rsidR="00F25E58" w14:paraId="6584A037" w14:textId="77777777">
        <w:trPr>
          <w:trHeight w:val="360"/>
          <w:jc w:val="center"/>
        </w:trPr>
        <w:tc>
          <w:tcPr>
            <w:tcW w:w="8352" w:type="dxa"/>
            <w:gridSpan w:val="3"/>
          </w:tcPr>
          <w:p w14:paraId="2656A856" w14:textId="77777777" w:rsidR="00F25E58" w:rsidRDefault="00F25E58">
            <w:pPr>
              <w:pStyle w:val="TableText"/>
            </w:pPr>
          </w:p>
        </w:tc>
      </w:tr>
      <w:tr w:rsidR="00F25E58" w14:paraId="21625940" w14:textId="77777777">
        <w:trPr>
          <w:jc w:val="center"/>
        </w:trPr>
        <w:tc>
          <w:tcPr>
            <w:tcW w:w="362" w:type="dxa"/>
            <w:gridSpan w:val="2"/>
            <w:shd w:val="clear" w:color="auto" w:fill="346094"/>
            <w:vAlign w:val="center"/>
          </w:tcPr>
          <w:p w14:paraId="2C0347EE" w14:textId="77777777" w:rsidR="00F25E58" w:rsidRDefault="0098493D">
            <w:pPr>
              <w:pStyle w:val="IconSpace"/>
            </w:pPr>
            <w:r>
              <w:rPr>
                <w:noProof/>
              </w:rPr>
              <w:drawing>
                <wp:inline distT="0" distB="0" distL="0" distR="0" wp14:anchorId="105E0C76" wp14:editId="0310B38F">
                  <wp:extent cx="231775" cy="23177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7990" w:type="dxa"/>
            <w:shd w:val="clear" w:color="auto" w:fill="D1DEEF" w:themeFill="accent1" w:themeFillTint="33"/>
            <w:vAlign w:val="center"/>
          </w:tcPr>
          <w:p w14:paraId="14EB4929" w14:textId="77777777" w:rsidR="00F25E58" w:rsidRDefault="0098493D">
            <w:pPr>
              <w:pStyle w:val="TableText"/>
              <w:rPr>
                <w:b/>
              </w:rPr>
            </w:pPr>
            <w:r>
              <w:rPr>
                <w:b/>
                <w:spacing w:val="-4"/>
              </w:rPr>
              <w:t>Additional Resources</w:t>
            </w:r>
          </w:p>
        </w:tc>
      </w:tr>
      <w:tr w:rsidR="00F25E58" w14:paraId="4C057D09" w14:textId="77777777">
        <w:trPr>
          <w:trHeight w:val="954"/>
          <w:jc w:val="center"/>
        </w:trPr>
        <w:tc>
          <w:tcPr>
            <w:tcW w:w="8352" w:type="dxa"/>
            <w:gridSpan w:val="3"/>
            <w:shd w:val="clear" w:color="auto" w:fill="F2F2F2" w:themeFill="background1" w:themeFillShade="F2"/>
          </w:tcPr>
          <w:p w14:paraId="5506BE4C" w14:textId="77777777" w:rsidR="00F25E58" w:rsidRDefault="0098493D">
            <w:pPr>
              <w:pStyle w:val="TableBullet1"/>
            </w:pPr>
            <w:r>
              <w:fldChar w:fldCharType="begin"/>
            </w:r>
            <w:r>
              <w:instrText xml:space="preserve"> HYPERLINK "http://www.ccrscenter.org/sites/default/files/AskCCRS_Metrics.pdf" </w:instrText>
            </w:r>
            <w:r>
              <w:fldChar w:fldCharType="separate"/>
            </w:r>
            <w:r>
              <w:rPr>
                <w:rStyle w:val="Hyperlink"/>
                <w:rFonts w:eastAsia="Calibri"/>
                <w:szCs w:val="20"/>
              </w:rPr>
              <w:t>How Are States Reporting on College and Career Readiness?</w:t>
            </w:r>
            <w:r>
              <w:t xml:space="preserve"> (CCRS Center, 2015)</w:t>
            </w:r>
          </w:p>
          <w:p w14:paraId="7EBF3F79" w14:textId="77777777" w:rsidR="00F25E58" w:rsidRDefault="0098493D">
            <w:pPr>
              <w:pStyle w:val="TableBullet1"/>
            </w:pPr>
            <w:r>
              <w:fldChar w:fldCharType="end"/>
            </w:r>
            <w:hyperlink r:id="rId54" w:history="1">
              <w:r>
                <w:rPr>
                  <w:rStyle w:val="Hyperlink"/>
                  <w:rFonts w:eastAsia="Calibri"/>
                  <w:szCs w:val="20"/>
                </w:rPr>
                <w:t>Transforming Public Reporting to Include College and Career Readiness for All</w:t>
              </w:r>
              <w:r>
                <w:t xml:space="preserve"> (Achieve, 2013)</w:t>
              </w:r>
            </w:hyperlink>
          </w:p>
          <w:p w14:paraId="09F30B4F" w14:textId="77777777" w:rsidR="00F25E58" w:rsidRDefault="001426BD">
            <w:pPr>
              <w:pStyle w:val="TableBullet1"/>
              <w:rPr>
                <w:rStyle w:val="Hyperlink"/>
                <w:rFonts w:eastAsia="Calibri"/>
                <w:color w:val="auto"/>
                <w:szCs w:val="20"/>
                <w:u w:val="none"/>
              </w:rPr>
            </w:pPr>
            <w:hyperlink r:id="rId55" w:history="1">
              <w:r w:rsidR="0098493D">
                <w:rPr>
                  <w:rStyle w:val="Hyperlink"/>
                  <w:rFonts w:eastAsia="Calibri"/>
                  <w:szCs w:val="20"/>
                </w:rPr>
                <w:t>Sample School-Level College and Career Readiness Reports</w:t>
              </w:r>
              <w:r w:rsidR="0098493D">
                <w:t xml:space="preserve"> (Achieve, 2016)</w:t>
              </w:r>
            </w:hyperlink>
          </w:p>
        </w:tc>
      </w:tr>
    </w:tbl>
    <w:p w14:paraId="099AA9F9" w14:textId="77777777" w:rsidR="00F25E58" w:rsidRDefault="00F25E58">
      <w:pPr>
        <w:pStyle w:val="TableText"/>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2D621DA9" w14:textId="77777777">
        <w:trPr>
          <w:jc w:val="center"/>
        </w:trPr>
        <w:tc>
          <w:tcPr>
            <w:tcW w:w="378" w:type="dxa"/>
            <w:shd w:val="clear" w:color="auto" w:fill="346094"/>
          </w:tcPr>
          <w:p w14:paraId="0D7777EC" w14:textId="77777777" w:rsidR="00F25E58" w:rsidRDefault="0098493D">
            <w:pPr>
              <w:pStyle w:val="IconSpace"/>
            </w:pPr>
            <w:r>
              <w:rPr>
                <w:noProof/>
              </w:rPr>
              <w:drawing>
                <wp:inline distT="0" distB="0" distL="0" distR="0" wp14:anchorId="32C51A44" wp14:editId="4E8D67B7">
                  <wp:extent cx="225425" cy="225425"/>
                  <wp:effectExtent l="0" t="0" r="3175" b="317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3B4050A2" w14:textId="77777777" w:rsidR="00F25E58" w:rsidRDefault="0098493D">
            <w:pPr>
              <w:pStyle w:val="TableSubheading"/>
            </w:pPr>
            <w:r>
              <w:t>V. B. Annual Federal Reporting</w:t>
            </w:r>
          </w:p>
        </w:tc>
      </w:tr>
      <w:tr w:rsidR="00F25E58" w14:paraId="17F73876" w14:textId="77777777">
        <w:trPr>
          <w:trHeight w:val="2610"/>
          <w:jc w:val="center"/>
        </w:trPr>
        <w:tc>
          <w:tcPr>
            <w:tcW w:w="9576" w:type="dxa"/>
            <w:gridSpan w:val="2"/>
          </w:tcPr>
          <w:p w14:paraId="2818A8D3" w14:textId="77777777" w:rsidR="00F25E58" w:rsidRDefault="0098493D">
            <w:pPr>
              <w:pStyle w:val="TableText"/>
              <w:rPr>
                <w:rFonts w:cs="Arial"/>
              </w:rPr>
            </w:pPr>
            <w:r>
              <w:rPr>
                <w:rFonts w:cs="Arial"/>
              </w:rPr>
              <w:t xml:space="preserve">Each state must annually report to the </w:t>
            </w:r>
            <w:r w:rsidRPr="00144F0B">
              <w:rPr>
                <w:rFonts w:cs="Arial"/>
              </w:rPr>
              <w:t>Secretary:</w:t>
            </w:r>
          </w:p>
          <w:p w14:paraId="5511649E" w14:textId="77777777" w:rsidR="00F25E58" w:rsidRDefault="0098493D">
            <w:pPr>
              <w:pStyle w:val="TableBullet1"/>
            </w:pPr>
            <w:r>
              <w:t>Information on the achievement of all students and subgroups on statewide assessments;</w:t>
            </w:r>
          </w:p>
          <w:p w14:paraId="174DE38F" w14:textId="77777777" w:rsidR="00F25E58" w:rsidRDefault="0098493D">
            <w:pPr>
              <w:pStyle w:val="TableBullet1"/>
            </w:pPr>
            <w:r>
              <w:t>Information on the acquisition of English proficiency by ELs;</w:t>
            </w:r>
          </w:p>
          <w:p w14:paraId="221F967B" w14:textId="77777777" w:rsidR="00F25E58" w:rsidRDefault="0098493D">
            <w:pPr>
              <w:pStyle w:val="TableBullet1"/>
            </w:pPr>
            <w:r>
              <w:t>The number and names of all public schools in the state identified for comprehensive and targeted support; and</w:t>
            </w:r>
          </w:p>
          <w:p w14:paraId="30DCA2A2" w14:textId="77777777" w:rsidR="00F25E58" w:rsidRDefault="0098493D">
            <w:pPr>
              <w:pStyle w:val="TableBullet1"/>
            </w:pPr>
            <w:r>
              <w:t>Teacher qualifications, including number and percentage of inexperienced, out-of-subject, or out-of-field educators, and teachers teaching with emergency credentials.</w:t>
            </w:r>
          </w:p>
          <w:p w14:paraId="1B57F24D" w14:textId="77777777" w:rsidR="00F25E58" w:rsidRDefault="0098493D">
            <w:pPr>
              <w:pStyle w:val="TableText6above"/>
            </w:pPr>
            <w:r>
              <w:t>Sec. 1111(h)(5)</w:t>
            </w:r>
          </w:p>
        </w:tc>
      </w:tr>
      <w:tr w:rsidR="00F25E58" w14:paraId="3946F6E1" w14:textId="77777777">
        <w:trPr>
          <w:jc w:val="center"/>
        </w:trPr>
        <w:tc>
          <w:tcPr>
            <w:tcW w:w="378" w:type="dxa"/>
            <w:shd w:val="clear" w:color="auto" w:fill="346094"/>
            <w:vAlign w:val="center"/>
          </w:tcPr>
          <w:p w14:paraId="023DBB19" w14:textId="77777777" w:rsidR="00F25E58" w:rsidRDefault="0098493D">
            <w:pPr>
              <w:pStyle w:val="IconSpace"/>
            </w:pPr>
            <w:r>
              <w:rPr>
                <w:noProof/>
              </w:rPr>
              <w:drawing>
                <wp:inline distT="0" distB="0" distL="0" distR="0" wp14:anchorId="21D0AD20" wp14:editId="5D8E6FB4">
                  <wp:extent cx="231775" cy="23177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153F525A"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476DBA87" w14:textId="77777777">
        <w:trPr>
          <w:trHeight w:val="333"/>
          <w:jc w:val="center"/>
        </w:trPr>
        <w:tc>
          <w:tcPr>
            <w:tcW w:w="9576" w:type="dxa"/>
            <w:gridSpan w:val="2"/>
            <w:shd w:val="clear" w:color="auto" w:fill="F2F2F2" w:themeFill="background1" w:themeFillShade="F2"/>
          </w:tcPr>
          <w:p w14:paraId="7279D859" w14:textId="77777777" w:rsidR="00F25E58" w:rsidRDefault="0098493D">
            <w:pPr>
              <w:pStyle w:val="TableText"/>
            </w:pPr>
            <w:r>
              <w:rPr>
                <w:rFonts w:cs="Arial"/>
              </w:rPr>
              <w:t>NCLB and ESSA contain similar provisions for reporting to the Secretary. ESSA modifies the teacher qualifications to be reported, including elimination of “highly qualified teacher” requirements.</w:t>
            </w:r>
          </w:p>
        </w:tc>
      </w:tr>
    </w:tbl>
    <w:p w14:paraId="5799B1F8" w14:textId="77777777" w:rsidR="00F25E58" w:rsidRDefault="00F25E58">
      <w:pPr>
        <w:rPr>
          <w:rFonts w:ascii="Arial" w:hAnsi="Arial" w:cs="Arial"/>
        </w:rPr>
      </w:pPr>
    </w:p>
    <w:p w14:paraId="74CDFD0E" w14:textId="77777777" w:rsidR="0052632A" w:rsidRDefault="0052632A">
      <w:pPr>
        <w:rPr>
          <w:rFonts w:ascii="Arial" w:hAnsi="Arial" w:cs="Arial"/>
        </w:rPr>
        <w:sectPr w:rsidR="0052632A" w:rsidSect="0052632A">
          <w:headerReference w:type="default" r:id="rId57"/>
          <w:footerReference w:type="default" r:id="rId58"/>
          <w:pgSz w:w="12240" w:h="15840"/>
          <w:pgMar w:top="1440" w:right="1440" w:bottom="1440" w:left="1440" w:header="720" w:footer="720" w:gutter="0"/>
          <w:pgNumType w:start="1"/>
          <w:cols w:space="720"/>
          <w:docGrid w:linePitch="360"/>
        </w:sectPr>
      </w:pPr>
    </w:p>
    <w:p w14:paraId="3B00A623" w14:textId="77777777" w:rsidR="00F25E58" w:rsidRDefault="0098493D">
      <w:pPr>
        <w:rPr>
          <w:sz w:val="20"/>
          <w:szCs w:val="20"/>
        </w:rPr>
      </w:pPr>
      <w:r>
        <w:rPr>
          <w:noProof/>
        </w:rPr>
        <w:lastRenderedPageBreak/>
        <mc:AlternateContent>
          <mc:Choice Requires="wps">
            <w:drawing>
              <wp:anchor distT="0" distB="0" distL="114300" distR="114300" simplePos="0" relativeHeight="251869696" behindDoc="0" locked="0" layoutInCell="1" allowOverlap="1" wp14:anchorId="3C602661" wp14:editId="4FAD36D9">
                <wp:simplePos x="0" y="0"/>
                <wp:positionH relativeFrom="column">
                  <wp:posOffset>0</wp:posOffset>
                </wp:positionH>
                <wp:positionV relativeFrom="paragraph">
                  <wp:posOffset>133350</wp:posOffset>
                </wp:positionV>
                <wp:extent cx="5943600" cy="0"/>
                <wp:effectExtent l="0" t="0" r="19050" b="19050"/>
                <wp:wrapNone/>
                <wp:docPr id="452" name="Straight Connector 45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28DC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5047B" id="Straight Connector 452"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" strokecolor="#128dc4" strokeweight="2pt"/>
            </w:pict>
          </mc:Fallback>
        </mc:AlternateContent>
      </w:r>
    </w:p>
    <w:p w14:paraId="22F26C07" w14:textId="77777777" w:rsidR="00F25E58" w:rsidRDefault="00F25E58">
      <w:pPr>
        <w:rPr>
          <w:sz w:val="20"/>
          <w:szCs w:val="20"/>
        </w:rPr>
      </w:pPr>
    </w:p>
    <w:p w14:paraId="4926FDD1" w14:textId="2F38EA8E" w:rsidR="00F25E58" w:rsidRDefault="0098493D">
      <w:pPr>
        <w:pStyle w:val="BodyText"/>
        <w:spacing w:after="480"/>
      </w:pPr>
      <w:r>
        <w:rPr>
          <w:noProof/>
        </w:rPr>
        <w:drawing>
          <wp:anchor distT="0" distB="0" distL="0" distR="0" simplePos="0" relativeHeight="251872768" behindDoc="0" locked="0" layoutInCell="1" allowOverlap="1" wp14:anchorId="431DF3FB" wp14:editId="6F25B328">
            <wp:simplePos x="0" y="0"/>
            <wp:positionH relativeFrom="margin">
              <wp:posOffset>1991093</wp:posOffset>
            </wp:positionH>
            <wp:positionV relativeFrom="paragraph">
              <wp:posOffset>782558</wp:posOffset>
            </wp:positionV>
            <wp:extent cx="247828" cy="247828"/>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acebook-logo.png"/>
                    <pic:cNvPicPr/>
                  </pic:nvPicPr>
                  <pic:blipFill>
                    <a:blip r:embed="rId59">
                      <a:extLst>
                        <a:ext uri="{28A0092B-C50C-407E-A947-70E740481C1C}">
                          <a14:useLocalDpi xmlns:a14="http://schemas.microsoft.com/office/drawing/2010/main" val="0"/>
                        </a:ext>
                      </a:extLst>
                    </a:blip>
                    <a:stretch>
                      <a:fillRect/>
                    </a:stretch>
                  </pic:blipFill>
                  <pic:spPr>
                    <a:xfrm>
                      <a:off x="0" y="0"/>
                      <a:ext cx="247828" cy="24782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0" simplePos="0" relativeHeight="251870720" behindDoc="1" locked="0" layoutInCell="1" allowOverlap="1" wp14:anchorId="1456F09B" wp14:editId="66593383">
            <wp:simplePos x="0" y="0"/>
            <wp:positionH relativeFrom="margin">
              <wp:posOffset>-60325</wp:posOffset>
            </wp:positionH>
            <wp:positionV relativeFrom="paragraph">
              <wp:posOffset>738796</wp:posOffset>
            </wp:positionV>
            <wp:extent cx="402336" cy="338328"/>
            <wp:effectExtent l="0" t="0" r="0" b="5080"/>
            <wp:wrapTight wrapText="bothSides">
              <wp:wrapPolygon edited="0">
                <wp:start x="0" y="0"/>
                <wp:lineTo x="0" y="20707"/>
                <wp:lineTo x="20474" y="20707"/>
                <wp:lineTo x="20474" y="0"/>
                <wp:lineTo x="0" y="0"/>
              </wp:wrapPolygon>
            </wp:wrapTight>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twitter.jpg"/>
                    <pic:cNvPicPr/>
                  </pic:nvPicPr>
                  <pic:blipFill rotWithShape="1">
                    <a:blip r:embed="rId60">
                      <a:extLst>
                        <a:ext uri="{28A0092B-C50C-407E-A947-70E740481C1C}">
                          <a14:useLocalDpi xmlns:a14="http://schemas.microsoft.com/office/drawing/2010/main" val="0"/>
                        </a:ext>
                      </a:extLst>
                    </a:blip>
                    <a:srcRect r="14289"/>
                    <a:stretch/>
                  </pic:blipFill>
                  <pic:spPr bwMode="auto">
                    <a:xfrm>
                      <a:off x="0" y="0"/>
                      <a:ext cx="402336" cy="3383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If you have any questions</w:t>
      </w:r>
      <w:r>
        <w:t xml:space="preserve"> about this </w:t>
      </w:r>
      <w:r w:rsidR="00210C67">
        <w:t>resource</w:t>
      </w:r>
      <w:r>
        <w:t xml:space="preserve"> or regarding the integration of college and career readiness goals and supports into state accountability and assessment systems, please contact us at </w:t>
      </w:r>
      <w:hyperlink r:id="rId61" w:history="1">
        <w:r>
          <w:rPr>
            <w:rStyle w:val="Hyperlink"/>
          </w:rPr>
          <w:t>ccrscenter@air.org</w:t>
        </w:r>
      </w:hyperlink>
      <w:r>
        <w:t>.</w:t>
      </w:r>
    </w:p>
    <w:p w14:paraId="77E41A62" w14:textId="77777777" w:rsidR="00F25E58" w:rsidRDefault="0098493D">
      <w:pPr>
        <w:pStyle w:val="BodyText"/>
        <w:tabs>
          <w:tab w:val="left" w:pos="3600"/>
        </w:tabs>
        <w:spacing w:before="240" w:after="240"/>
      </w:pPr>
      <w:r>
        <w:rPr>
          <w:b/>
        </w:rPr>
        <w:t xml:space="preserve"> Tweet</w:t>
      </w:r>
      <w:r>
        <w:t xml:space="preserve"> us @CCRSCenter</w:t>
      </w:r>
      <w:r>
        <w:tab/>
        <w:t xml:space="preserve">Like us on </w:t>
      </w:r>
      <w:r>
        <w:rPr>
          <w:b/>
        </w:rPr>
        <w:t>Facebook</w:t>
      </w:r>
    </w:p>
    <w:tbl>
      <w:tblPr>
        <w:tblStyle w:val="TableGrid"/>
        <w:tblW w:w="0" w:type="auto"/>
        <w:tblLook w:val="04A0" w:firstRow="1" w:lastRow="0" w:firstColumn="1" w:lastColumn="0" w:noHBand="0" w:noVBand="1"/>
      </w:tblPr>
      <w:tblGrid>
        <w:gridCol w:w="9350"/>
      </w:tblGrid>
      <w:tr w:rsidR="00F25E58" w14:paraId="753D08A4" w14:textId="77777777">
        <w:tc>
          <w:tcPr>
            <w:tcW w:w="9350" w:type="dxa"/>
            <w:tcBorders>
              <w:top w:val="nil"/>
              <w:left w:val="nil"/>
              <w:bottom w:val="nil"/>
              <w:right w:val="nil"/>
            </w:tcBorders>
            <w:shd w:val="clear" w:color="auto" w:fill="128DC4" w:themeFill="accent6"/>
          </w:tcPr>
          <w:p w14:paraId="04D50B2E" w14:textId="77777777" w:rsidR="00F25E58" w:rsidRDefault="0098493D">
            <w:pPr>
              <w:pStyle w:val="BodyText"/>
              <w:spacing w:before="960"/>
              <w:ind w:left="198"/>
              <w:rPr>
                <w:color w:val="FFFFFF" w:themeColor="background1"/>
              </w:rPr>
            </w:pPr>
            <w:r>
              <w:rPr>
                <w:noProof/>
                <w:color w:val="FFFFFF" w:themeColor="background1"/>
              </w:rPr>
              <w:drawing>
                <wp:inline distT="0" distB="0" distL="0" distR="0" wp14:anchorId="071A1431" wp14:editId="0E8548FC">
                  <wp:extent cx="2585960" cy="515816"/>
                  <wp:effectExtent l="0" t="0" r="508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CRS Identifier-White.png"/>
                          <pic:cNvPicPr/>
                        </pic:nvPicPr>
                        <pic:blipFill>
                          <a:blip r:embed="rId62">
                            <a:extLst>
                              <a:ext uri="{28A0092B-C50C-407E-A947-70E740481C1C}">
                                <a14:useLocalDpi xmlns:a14="http://schemas.microsoft.com/office/drawing/2010/main" val="0"/>
                              </a:ext>
                            </a:extLst>
                          </a:blip>
                          <a:stretch>
                            <a:fillRect/>
                          </a:stretch>
                        </pic:blipFill>
                        <pic:spPr>
                          <a:xfrm>
                            <a:off x="0" y="0"/>
                            <a:ext cx="2679183" cy="534411"/>
                          </a:xfrm>
                          <a:prstGeom prst="rect">
                            <a:avLst/>
                          </a:prstGeom>
                        </pic:spPr>
                      </pic:pic>
                    </a:graphicData>
                  </a:graphic>
                </wp:inline>
              </w:drawing>
            </w:r>
          </w:p>
          <w:p w14:paraId="7C1A94A3" w14:textId="77777777" w:rsidR="00F25E58" w:rsidRDefault="0098493D">
            <w:pPr>
              <w:pStyle w:val="BodyText"/>
              <w:ind w:left="1548" w:right="278"/>
              <w:rPr>
                <w:color w:val="FFFFFF" w:themeColor="background1"/>
                <w:sz w:val="18"/>
                <w:szCs w:val="18"/>
              </w:rPr>
            </w:pPr>
            <w:r>
              <w:rPr>
                <w:color w:val="FFFFFF" w:themeColor="background1"/>
                <w:sz w:val="18"/>
                <w:szCs w:val="18"/>
              </w:rPr>
              <w:t>This resource was developed collaboratively by the College and Career Readiness and Success (CCRS) Center with funding Support by the Office of Elementary and Secondary Education and the Office of Career, Technical, and Adult Education at the U.S. Department of Education.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w:t>
            </w:r>
          </w:p>
          <w:p w14:paraId="22C52282" w14:textId="77777777" w:rsidR="00F25E58" w:rsidRDefault="0098493D">
            <w:pPr>
              <w:pStyle w:val="BodyText"/>
              <w:spacing w:before="240" w:after="120"/>
              <w:ind w:left="1548" w:right="278"/>
              <w:rPr>
                <w:rFonts w:ascii="Arial Narrow" w:hAnsi="Arial Narrow"/>
                <w:b/>
                <w:color w:val="FFFFFF" w:themeColor="background1"/>
              </w:rPr>
            </w:pPr>
            <w:r>
              <w:rPr>
                <w:rFonts w:ascii="Arial Narrow" w:hAnsi="Arial Narrow"/>
                <w:b/>
                <w:color w:val="FFFFFF" w:themeColor="background1"/>
              </w:rPr>
              <w:t>ABOUT THE CCRS CENTER</w:t>
            </w:r>
          </w:p>
          <w:p w14:paraId="7FC9A146" w14:textId="122F1CB7" w:rsidR="00F25E58" w:rsidRDefault="0098493D">
            <w:pPr>
              <w:pStyle w:val="BodyText"/>
              <w:spacing w:after="360"/>
              <w:ind w:left="1548" w:right="278"/>
              <w:rPr>
                <w:color w:val="FFFFFF" w:themeColor="background1"/>
              </w:rPr>
            </w:pPr>
            <w:r>
              <w:rPr>
                <w:color w:val="FFFFFF" w:themeColor="background1"/>
                <w:sz w:val="18"/>
                <w:szCs w:val="18"/>
              </w:rPr>
              <w:t>The CCRS Center provides technical assistance through actionable and differentiated services and resources that support implementation of states’ college and career readiness and success initiatives. As one of seven federally funded content centers, our primary audiences are the 15 regional comprehensive centers and the state education</w:t>
            </w:r>
            <w:r w:rsidR="004C204B">
              <w:rPr>
                <w:color w:val="FFFFFF" w:themeColor="background1"/>
                <w:sz w:val="18"/>
                <w:szCs w:val="18"/>
              </w:rPr>
              <w:t>al</w:t>
            </w:r>
            <w:r>
              <w:rPr>
                <w:color w:val="FFFFFF" w:themeColor="background1"/>
                <w:sz w:val="18"/>
                <w:szCs w:val="18"/>
              </w:rPr>
              <w:t xml:space="preserve"> agencies they serve.</w:t>
            </w:r>
          </w:p>
        </w:tc>
      </w:tr>
    </w:tbl>
    <w:p w14:paraId="4181727D" w14:textId="1072BD7A" w:rsidR="00F25E58" w:rsidRDefault="00F25E58">
      <w:pPr>
        <w:rPr>
          <w:rFonts w:ascii="Arial" w:hAnsi="Arial" w:cs="Arial"/>
          <w:sz w:val="20"/>
          <w:szCs w:val="20"/>
        </w:rPr>
      </w:pPr>
    </w:p>
    <w:sectPr w:rsidR="00F25E58" w:rsidSect="0052632A">
      <w:footerReference w:type="default" r:id="rId6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02CBC" w14:textId="77777777" w:rsidR="003F36CE" w:rsidRDefault="003F36CE">
      <w:r>
        <w:separator/>
      </w:r>
    </w:p>
    <w:p w14:paraId="3510E6B7" w14:textId="77777777" w:rsidR="003F36CE" w:rsidRDefault="003F36CE"/>
  </w:endnote>
  <w:endnote w:type="continuationSeparator" w:id="0">
    <w:p w14:paraId="2D34AD60" w14:textId="77777777" w:rsidR="003F36CE" w:rsidRDefault="003F36CE">
      <w:r>
        <w:continuationSeparator/>
      </w:r>
    </w:p>
    <w:p w14:paraId="58EBF412" w14:textId="77777777" w:rsidR="003F36CE" w:rsidRDefault="003F3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tham Medium">
    <w:altName w:val="Gotham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BE31" w14:textId="51A4B037" w:rsidR="003F36CE" w:rsidRDefault="003F36CE">
    <w:pPr>
      <w:pStyle w:val="Footer"/>
    </w:pPr>
    <w:r>
      <w:t xml:space="preserve">College and Career Readiness and Success Center </w:t>
    </w:r>
    <w:r>
      <w:ptab w:relativeTo="margin" w:alignment="right" w:leader="none"/>
    </w:r>
    <w:r>
      <w:t>State Planning Tool for Standards-Based Accountability—B</w:t>
    </w:r>
    <w:r>
      <w:fldChar w:fldCharType="begin"/>
    </w:r>
    <w:r>
      <w:instrText xml:space="preserve"> PAGE   \* MERGEFORMAT </w:instrText>
    </w:r>
    <w:r>
      <w:fldChar w:fldCharType="separate"/>
    </w:r>
    <w:r w:rsidR="001426BD">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ABF2" w14:textId="23A060E5" w:rsidR="003F36CE" w:rsidRDefault="003F36CE">
    <w:pPr>
      <w:pStyle w:val="Footer"/>
    </w:pPr>
    <w:r>
      <w:t xml:space="preserve">College and Career Readiness and Success Center </w:t>
    </w:r>
    <w:r>
      <w:ptab w:relativeTo="margin" w:alignment="right" w:leader="none"/>
    </w:r>
    <w:r>
      <w:t>State Planning Tool for Standards-Based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1BDBA" w14:textId="77777777" w:rsidR="003F36CE" w:rsidRDefault="003F36CE">
      <w:r>
        <w:separator/>
      </w:r>
    </w:p>
  </w:footnote>
  <w:footnote w:type="continuationSeparator" w:id="0">
    <w:p w14:paraId="63F5AC84" w14:textId="77777777" w:rsidR="003F36CE" w:rsidRDefault="003F36CE">
      <w:r>
        <w:continuationSeparator/>
      </w:r>
    </w:p>
  </w:footnote>
  <w:footnote w:type="continuationNotice" w:id="1">
    <w:p w14:paraId="0357C689" w14:textId="77777777" w:rsidR="003F36CE" w:rsidRDefault="003F36CE"/>
  </w:footnote>
  <w:footnote w:id="2">
    <w:p w14:paraId="22D07C17" w14:textId="77777777" w:rsidR="003F36CE" w:rsidRDefault="003F36CE">
      <w:pPr>
        <w:pStyle w:val="FootnoteText"/>
      </w:pPr>
      <w:r>
        <w:rPr>
          <w:rStyle w:val="FootnoteReference"/>
        </w:rPr>
        <w:footnoteRef/>
      </w:r>
      <w:r>
        <w:t xml:space="preserve"> The findings and opinions expressed in the additional resources provided in Part B are those of the respective authors and organizations and do not represent the views of the American Institutes for Research. These resources are included for consideration of alternative strategies for meaningful implementation of ESSA only.</w:t>
      </w:r>
    </w:p>
  </w:footnote>
  <w:footnote w:id="3">
    <w:p w14:paraId="1D4C4CF4" w14:textId="77777777" w:rsidR="003F36CE" w:rsidRDefault="003F36CE">
      <w:pPr>
        <w:pStyle w:val="FootnoteText"/>
      </w:pPr>
      <w:r>
        <w:rPr>
          <w:rStyle w:val="FootnoteReference"/>
        </w:rPr>
        <w:footnoteRef/>
      </w:r>
      <w:r>
        <w:t xml:space="preserve"> ESSA specifies, on an indicator-by-indicator basis, how reported data should be disaggregated by subgroup. States should review these subgroup reporting requirements in detail.</w:t>
      </w:r>
    </w:p>
  </w:footnote>
  <w:footnote w:id="4">
    <w:p w14:paraId="1330FF84" w14:textId="3B0C8D24" w:rsidR="003F36CE" w:rsidRDefault="003F36CE">
      <w:pPr>
        <w:pStyle w:val="FootnoteText"/>
        <w:rPr>
          <w:i/>
          <w:iCs/>
        </w:rPr>
      </w:pPr>
      <w:r>
        <w:rPr>
          <w:rStyle w:val="FootnoteReference"/>
        </w:rPr>
        <w:footnoteRef/>
      </w:r>
      <w:r>
        <w:rPr>
          <w:rStyle w:val="FootnoteReference"/>
        </w:rPr>
        <w:t xml:space="preserve"> </w:t>
      </w:r>
      <w:r>
        <w:t xml:space="preserve">Advanced Placement® and AP® are trademarks registered and/or owned by the College Board, which was not involved in the production of, and </w:t>
      </w:r>
      <w:r w:rsidR="00500AA5">
        <w:t>does</w:t>
      </w:r>
      <w:r w:rsidR="00500AA5">
        <w:rPr>
          <w:lang w:val="en"/>
        </w:rPr>
        <w:t xml:space="preserve"> </w:t>
      </w:r>
      <w:r>
        <w:rPr>
          <w:lang w:val="en"/>
        </w:rPr>
        <w:t>not endorse, this product.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5E22" w14:textId="77777777" w:rsidR="008C70CE" w:rsidRDefault="008C7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visibility:visible;mso-wrap-style:square" o:bullet="t">
        <v:imagedata r:id="rId1" o:title=""/>
      </v:shape>
    </w:pict>
  </w:numPicBullet>
  <w:abstractNum w:abstractNumId="0" w15:restartNumberingAfterBreak="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AB30EFEC"/>
    <w:lvl w:ilvl="0">
      <w:start w:val="1"/>
      <w:numFmt w:val="decimal"/>
      <w:pStyle w:val="ListNumber"/>
      <w:lvlText w:val="%1."/>
      <w:lvlJc w:val="left"/>
      <w:pPr>
        <w:tabs>
          <w:tab w:val="num" w:pos="360"/>
        </w:tabs>
        <w:ind w:left="360" w:hanging="360"/>
      </w:pPr>
    </w:lvl>
  </w:abstractNum>
  <w:abstractNum w:abstractNumId="7" w15:restartNumberingAfterBreak="0">
    <w:nsid w:val="11797760"/>
    <w:multiLevelType w:val="hybridMultilevel"/>
    <w:tmpl w:val="BC686AB6"/>
    <w:lvl w:ilvl="0" w:tplc="34109E8A">
      <w:start w:val="1"/>
      <w:numFmt w:val="bullet"/>
      <w:lvlText w:val=""/>
      <w:lvlPicBulletId w:val="0"/>
      <w:lvlJc w:val="left"/>
      <w:pPr>
        <w:tabs>
          <w:tab w:val="num" w:pos="720"/>
        </w:tabs>
        <w:ind w:left="720" w:hanging="360"/>
      </w:pPr>
      <w:rPr>
        <w:rFonts w:ascii="Symbol" w:hAnsi="Symbol" w:hint="default"/>
      </w:rPr>
    </w:lvl>
    <w:lvl w:ilvl="1" w:tplc="961E6CDA" w:tentative="1">
      <w:start w:val="1"/>
      <w:numFmt w:val="bullet"/>
      <w:lvlText w:val=""/>
      <w:lvlJc w:val="left"/>
      <w:pPr>
        <w:tabs>
          <w:tab w:val="num" w:pos="1440"/>
        </w:tabs>
        <w:ind w:left="1440" w:hanging="360"/>
      </w:pPr>
      <w:rPr>
        <w:rFonts w:ascii="Symbol" w:hAnsi="Symbol" w:hint="default"/>
      </w:rPr>
    </w:lvl>
    <w:lvl w:ilvl="2" w:tplc="7136B90E" w:tentative="1">
      <w:start w:val="1"/>
      <w:numFmt w:val="bullet"/>
      <w:lvlText w:val=""/>
      <w:lvlJc w:val="left"/>
      <w:pPr>
        <w:tabs>
          <w:tab w:val="num" w:pos="2160"/>
        </w:tabs>
        <w:ind w:left="2160" w:hanging="360"/>
      </w:pPr>
      <w:rPr>
        <w:rFonts w:ascii="Symbol" w:hAnsi="Symbol" w:hint="default"/>
      </w:rPr>
    </w:lvl>
    <w:lvl w:ilvl="3" w:tplc="069AA122" w:tentative="1">
      <w:start w:val="1"/>
      <w:numFmt w:val="bullet"/>
      <w:lvlText w:val=""/>
      <w:lvlJc w:val="left"/>
      <w:pPr>
        <w:tabs>
          <w:tab w:val="num" w:pos="2880"/>
        </w:tabs>
        <w:ind w:left="2880" w:hanging="360"/>
      </w:pPr>
      <w:rPr>
        <w:rFonts w:ascii="Symbol" w:hAnsi="Symbol" w:hint="default"/>
      </w:rPr>
    </w:lvl>
    <w:lvl w:ilvl="4" w:tplc="4058F0C8" w:tentative="1">
      <w:start w:val="1"/>
      <w:numFmt w:val="bullet"/>
      <w:lvlText w:val=""/>
      <w:lvlJc w:val="left"/>
      <w:pPr>
        <w:tabs>
          <w:tab w:val="num" w:pos="3600"/>
        </w:tabs>
        <w:ind w:left="3600" w:hanging="360"/>
      </w:pPr>
      <w:rPr>
        <w:rFonts w:ascii="Symbol" w:hAnsi="Symbol" w:hint="default"/>
      </w:rPr>
    </w:lvl>
    <w:lvl w:ilvl="5" w:tplc="C2E09172" w:tentative="1">
      <w:start w:val="1"/>
      <w:numFmt w:val="bullet"/>
      <w:lvlText w:val=""/>
      <w:lvlJc w:val="left"/>
      <w:pPr>
        <w:tabs>
          <w:tab w:val="num" w:pos="4320"/>
        </w:tabs>
        <w:ind w:left="4320" w:hanging="360"/>
      </w:pPr>
      <w:rPr>
        <w:rFonts w:ascii="Symbol" w:hAnsi="Symbol" w:hint="default"/>
      </w:rPr>
    </w:lvl>
    <w:lvl w:ilvl="6" w:tplc="2D00E6DE" w:tentative="1">
      <w:start w:val="1"/>
      <w:numFmt w:val="bullet"/>
      <w:lvlText w:val=""/>
      <w:lvlJc w:val="left"/>
      <w:pPr>
        <w:tabs>
          <w:tab w:val="num" w:pos="5040"/>
        </w:tabs>
        <w:ind w:left="5040" w:hanging="360"/>
      </w:pPr>
      <w:rPr>
        <w:rFonts w:ascii="Symbol" w:hAnsi="Symbol" w:hint="default"/>
      </w:rPr>
    </w:lvl>
    <w:lvl w:ilvl="7" w:tplc="57886CC0" w:tentative="1">
      <w:start w:val="1"/>
      <w:numFmt w:val="bullet"/>
      <w:lvlText w:val=""/>
      <w:lvlJc w:val="left"/>
      <w:pPr>
        <w:tabs>
          <w:tab w:val="num" w:pos="5760"/>
        </w:tabs>
        <w:ind w:left="5760" w:hanging="360"/>
      </w:pPr>
      <w:rPr>
        <w:rFonts w:ascii="Symbol" w:hAnsi="Symbol" w:hint="default"/>
      </w:rPr>
    </w:lvl>
    <w:lvl w:ilvl="8" w:tplc="70B06F6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BC01BD6"/>
    <w:multiLevelType w:val="hybridMultilevel"/>
    <w:tmpl w:val="3F44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C55832"/>
    <w:multiLevelType w:val="hybridMultilevel"/>
    <w:tmpl w:val="63788552"/>
    <w:lvl w:ilvl="0" w:tplc="04090005">
      <w:start w:val="1"/>
      <w:numFmt w:val="bullet"/>
      <w:lvlText w:val=""/>
      <w:lvlJc w:val="left"/>
      <w:pPr>
        <w:ind w:left="630" w:hanging="360"/>
      </w:pPr>
      <w:rPr>
        <w:rFonts w:ascii="Wingdings" w:hAnsi="Wingdings" w:hint="default"/>
        <w:b w:val="0"/>
        <w:i w:val="0"/>
        <w:color w:val="000000" w:themeColor="text1"/>
      </w:rPr>
    </w:lvl>
    <w:lvl w:ilvl="1" w:tplc="CDD631C6">
      <w:start w:val="1"/>
      <w:numFmt w:val="bullet"/>
      <w:lvlText w:val="•"/>
      <w:lvlJc w:val="left"/>
      <w:pPr>
        <w:ind w:left="1710" w:hanging="360"/>
      </w:pPr>
      <w:rPr>
        <w:rFonts w:ascii="Times New Roman" w:hAnsi="Times New Roman" w:cs="Times New Roman" w:hint="default"/>
        <w:b w:val="0"/>
        <w:i w:val="0"/>
        <w:caps w:val="0"/>
        <w:strike w:val="0"/>
        <w:dstrike w:val="0"/>
        <w:vanish w:val="0"/>
        <w:color w:val="auto"/>
        <w:position w:val="0"/>
        <w:sz w:val="20"/>
        <w:vertAlign w:val="baseline"/>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D68CB"/>
    <w:multiLevelType w:val="hybridMultilevel"/>
    <w:tmpl w:val="1EB6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72237"/>
    <w:multiLevelType w:val="multilevel"/>
    <w:tmpl w:val="5BDA2D80"/>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1555B"/>
    <w:multiLevelType w:val="multilevel"/>
    <w:tmpl w:val="A3EC1F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B81B9B"/>
    <w:multiLevelType w:val="multilevel"/>
    <w:tmpl w:val="B2D04F36"/>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B7527"/>
    <w:multiLevelType w:val="hybridMultilevel"/>
    <w:tmpl w:val="A266AEF6"/>
    <w:lvl w:ilvl="0" w:tplc="3780897A">
      <w:start w:val="1"/>
      <w:numFmt w:val="bullet"/>
      <w:lvlText w:val="–"/>
      <w:lvlJc w:val="left"/>
      <w:pPr>
        <w:ind w:left="630" w:hanging="360"/>
      </w:pPr>
      <w:rPr>
        <w:rFonts w:ascii="Arial" w:hAnsi="Arial" w:hint="default"/>
        <w:b w:val="0"/>
        <w:i w:val="0"/>
        <w:color w:val="000000" w:themeColor="text1"/>
      </w:rPr>
    </w:lvl>
    <w:lvl w:ilvl="1" w:tplc="CDD631C6">
      <w:start w:val="1"/>
      <w:numFmt w:val="bullet"/>
      <w:lvlText w:val="•"/>
      <w:lvlJc w:val="left"/>
      <w:pPr>
        <w:ind w:left="1710" w:hanging="360"/>
      </w:pPr>
      <w:rPr>
        <w:rFonts w:ascii="Times New Roman" w:hAnsi="Times New Roman" w:cs="Times New Roman" w:hint="default"/>
        <w:b w:val="0"/>
        <w:i w:val="0"/>
        <w:caps w:val="0"/>
        <w:strike w:val="0"/>
        <w:dstrike w:val="0"/>
        <w:vanish w:val="0"/>
        <w:color w:val="auto"/>
        <w:position w:val="0"/>
        <w:sz w:val="20"/>
        <w:vertAlign w:val="baseline"/>
      </w:rPr>
    </w:lvl>
    <w:lvl w:ilvl="2" w:tplc="88F82478">
      <w:start w:val="1"/>
      <w:numFmt w:val="bullet"/>
      <w:pStyle w:val="TableBullet4"/>
      <w:lvlText w:val="»"/>
      <w:lvlJc w:val="left"/>
      <w:pPr>
        <w:ind w:left="2430" w:hanging="360"/>
      </w:pPr>
      <w:rPr>
        <w:rFonts w:ascii="Times New Roman" w:hAnsi="Times New Roman" w:cs="Times New Roman"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6B723E00"/>
    <w:multiLevelType w:val="hybridMultilevel"/>
    <w:tmpl w:val="D4CC2514"/>
    <w:lvl w:ilvl="0" w:tplc="1564DE46">
      <w:start w:val="4"/>
      <w:numFmt w:val="decimal"/>
      <w:pStyle w:val="NumberedList"/>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24AED"/>
    <w:multiLevelType w:val="hybridMultilevel"/>
    <w:tmpl w:val="A4C211C0"/>
    <w:lvl w:ilvl="0" w:tplc="78109A14">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27045"/>
    <w:multiLevelType w:val="hybridMultilevel"/>
    <w:tmpl w:val="79E6D5A6"/>
    <w:lvl w:ilvl="0" w:tplc="3780897A">
      <w:start w:val="1"/>
      <w:numFmt w:val="bullet"/>
      <w:pStyle w:val="TableBullet2"/>
      <w:lvlText w:val="–"/>
      <w:lvlJc w:val="left"/>
      <w:pPr>
        <w:ind w:left="630" w:hanging="360"/>
      </w:pPr>
      <w:rPr>
        <w:rFonts w:ascii="Arial" w:hAnsi="Arial" w:hint="default"/>
        <w:b w:val="0"/>
        <w:i w:val="0"/>
        <w:color w:val="000000" w:themeColor="text1"/>
      </w:rPr>
    </w:lvl>
    <w:lvl w:ilvl="1" w:tplc="CDD631C6">
      <w:start w:val="1"/>
      <w:numFmt w:val="bullet"/>
      <w:pStyle w:val="TableBullet3"/>
      <w:lvlText w:val="•"/>
      <w:lvlJc w:val="left"/>
      <w:pPr>
        <w:ind w:left="1710" w:hanging="360"/>
      </w:pPr>
      <w:rPr>
        <w:rFonts w:ascii="Times New Roman" w:hAnsi="Times New Roman" w:cs="Times New Roman" w:hint="default"/>
        <w:b w:val="0"/>
        <w:i w:val="0"/>
        <w:caps w:val="0"/>
        <w:strike w:val="0"/>
        <w:dstrike w:val="0"/>
        <w:vanish w:val="0"/>
        <w:color w:val="auto"/>
        <w:position w:val="0"/>
        <w:sz w:val="20"/>
        <w:vertAlign w:val="baseline"/>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17"/>
  </w:num>
  <w:num w:numId="9">
    <w:abstractNumId w:val="12"/>
  </w:num>
  <w:num w:numId="10">
    <w:abstractNumId w:val="14"/>
  </w:num>
  <w:num w:numId="11">
    <w:abstractNumId w:val="16"/>
  </w:num>
  <w:num w:numId="12">
    <w:abstractNumId w:val="10"/>
  </w:num>
  <w:num w:numId="13">
    <w:abstractNumId w:val="18"/>
  </w:num>
  <w:num w:numId="14">
    <w:abstractNumId w:val="7"/>
  </w:num>
  <w:num w:numId="15">
    <w:abstractNumId w:val="15"/>
  </w:num>
  <w:num w:numId="16">
    <w:abstractNumId w:val="9"/>
  </w:num>
  <w:num w:numId="17">
    <w:abstractNumId w:val="11"/>
  </w:num>
  <w:num w:numId="18">
    <w:abstractNumId w:val="8"/>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58"/>
    <w:rsid w:val="00024670"/>
    <w:rsid w:val="00030A6B"/>
    <w:rsid w:val="00081A27"/>
    <w:rsid w:val="00086DE8"/>
    <w:rsid w:val="00090490"/>
    <w:rsid w:val="00090759"/>
    <w:rsid w:val="000A58F3"/>
    <w:rsid w:val="000A7A90"/>
    <w:rsid w:val="000A7F34"/>
    <w:rsid w:val="000B3F03"/>
    <w:rsid w:val="000C45C7"/>
    <w:rsid w:val="000E5D96"/>
    <w:rsid w:val="00105B2A"/>
    <w:rsid w:val="0011473C"/>
    <w:rsid w:val="00125352"/>
    <w:rsid w:val="00134D6A"/>
    <w:rsid w:val="001426BD"/>
    <w:rsid w:val="00144F0B"/>
    <w:rsid w:val="001530D5"/>
    <w:rsid w:val="00163F65"/>
    <w:rsid w:val="00173EBF"/>
    <w:rsid w:val="0017615C"/>
    <w:rsid w:val="001A3822"/>
    <w:rsid w:val="001B47CC"/>
    <w:rsid w:val="001C67E2"/>
    <w:rsid w:val="001D34F9"/>
    <w:rsid w:val="00206460"/>
    <w:rsid w:val="00210C67"/>
    <w:rsid w:val="00226D44"/>
    <w:rsid w:val="00233271"/>
    <w:rsid w:val="00236C8A"/>
    <w:rsid w:val="0025021B"/>
    <w:rsid w:val="00250706"/>
    <w:rsid w:val="002623D8"/>
    <w:rsid w:val="0027461B"/>
    <w:rsid w:val="00277D62"/>
    <w:rsid w:val="00293548"/>
    <w:rsid w:val="0029543D"/>
    <w:rsid w:val="00295735"/>
    <w:rsid w:val="002C635E"/>
    <w:rsid w:val="002D0BF4"/>
    <w:rsid w:val="002E0960"/>
    <w:rsid w:val="002E4DE8"/>
    <w:rsid w:val="002E5389"/>
    <w:rsid w:val="002E6B9D"/>
    <w:rsid w:val="00301409"/>
    <w:rsid w:val="00314ACE"/>
    <w:rsid w:val="00327309"/>
    <w:rsid w:val="003373B2"/>
    <w:rsid w:val="00354C62"/>
    <w:rsid w:val="003601AC"/>
    <w:rsid w:val="003665C0"/>
    <w:rsid w:val="003754BB"/>
    <w:rsid w:val="003B6ABD"/>
    <w:rsid w:val="003B7C02"/>
    <w:rsid w:val="003E1DDB"/>
    <w:rsid w:val="003F176B"/>
    <w:rsid w:val="003F36CE"/>
    <w:rsid w:val="00405A03"/>
    <w:rsid w:val="00406D86"/>
    <w:rsid w:val="00420EA4"/>
    <w:rsid w:val="004229D6"/>
    <w:rsid w:val="00436612"/>
    <w:rsid w:val="00446FFA"/>
    <w:rsid w:val="004503E0"/>
    <w:rsid w:val="00450547"/>
    <w:rsid w:val="00461C98"/>
    <w:rsid w:val="00477773"/>
    <w:rsid w:val="00484741"/>
    <w:rsid w:val="0048640C"/>
    <w:rsid w:val="00496ADA"/>
    <w:rsid w:val="004A6FF7"/>
    <w:rsid w:val="004B59B4"/>
    <w:rsid w:val="004B79F9"/>
    <w:rsid w:val="004C204B"/>
    <w:rsid w:val="004C4161"/>
    <w:rsid w:val="004C4C01"/>
    <w:rsid w:val="004C59A0"/>
    <w:rsid w:val="004D1409"/>
    <w:rsid w:val="00500AA5"/>
    <w:rsid w:val="00511561"/>
    <w:rsid w:val="00511F2C"/>
    <w:rsid w:val="00522028"/>
    <w:rsid w:val="0052632A"/>
    <w:rsid w:val="00526AFC"/>
    <w:rsid w:val="00545B7C"/>
    <w:rsid w:val="00554A20"/>
    <w:rsid w:val="0056028C"/>
    <w:rsid w:val="00573E93"/>
    <w:rsid w:val="0058079B"/>
    <w:rsid w:val="005B7DE2"/>
    <w:rsid w:val="005F2183"/>
    <w:rsid w:val="00620204"/>
    <w:rsid w:val="00621285"/>
    <w:rsid w:val="006263E9"/>
    <w:rsid w:val="00640C70"/>
    <w:rsid w:val="006422C2"/>
    <w:rsid w:val="00645ACD"/>
    <w:rsid w:val="00647707"/>
    <w:rsid w:val="006510C1"/>
    <w:rsid w:val="00660546"/>
    <w:rsid w:val="00665B0C"/>
    <w:rsid w:val="0066676A"/>
    <w:rsid w:val="00672F9A"/>
    <w:rsid w:val="00682BC0"/>
    <w:rsid w:val="006A4CA9"/>
    <w:rsid w:val="006A52F4"/>
    <w:rsid w:val="006C545E"/>
    <w:rsid w:val="006C68C9"/>
    <w:rsid w:val="006C7CBE"/>
    <w:rsid w:val="006D2A04"/>
    <w:rsid w:val="006D37B9"/>
    <w:rsid w:val="006D38CB"/>
    <w:rsid w:val="006D6D90"/>
    <w:rsid w:val="006E3D83"/>
    <w:rsid w:val="006E579C"/>
    <w:rsid w:val="006F461E"/>
    <w:rsid w:val="006F55D1"/>
    <w:rsid w:val="00701DED"/>
    <w:rsid w:val="0070241F"/>
    <w:rsid w:val="00720494"/>
    <w:rsid w:val="00734AF3"/>
    <w:rsid w:val="007458C4"/>
    <w:rsid w:val="00756041"/>
    <w:rsid w:val="00760F1B"/>
    <w:rsid w:val="0078118E"/>
    <w:rsid w:val="007A4BE0"/>
    <w:rsid w:val="007C1E8D"/>
    <w:rsid w:val="007D16D8"/>
    <w:rsid w:val="007F0682"/>
    <w:rsid w:val="00804D47"/>
    <w:rsid w:val="00841B2A"/>
    <w:rsid w:val="00870166"/>
    <w:rsid w:val="00877D18"/>
    <w:rsid w:val="00886BCA"/>
    <w:rsid w:val="008B360E"/>
    <w:rsid w:val="008C0B79"/>
    <w:rsid w:val="008C297B"/>
    <w:rsid w:val="008C6B27"/>
    <w:rsid w:val="008C70CE"/>
    <w:rsid w:val="008D3BC2"/>
    <w:rsid w:val="008D5C2F"/>
    <w:rsid w:val="008E022E"/>
    <w:rsid w:val="008E1D4F"/>
    <w:rsid w:val="0090520E"/>
    <w:rsid w:val="00912610"/>
    <w:rsid w:val="00912FBB"/>
    <w:rsid w:val="00925BD4"/>
    <w:rsid w:val="00942C17"/>
    <w:rsid w:val="0094785E"/>
    <w:rsid w:val="009479D8"/>
    <w:rsid w:val="00950648"/>
    <w:rsid w:val="00961CD8"/>
    <w:rsid w:val="00967253"/>
    <w:rsid w:val="0098493D"/>
    <w:rsid w:val="00994A1C"/>
    <w:rsid w:val="009A0FC0"/>
    <w:rsid w:val="009A4938"/>
    <w:rsid w:val="009B76EE"/>
    <w:rsid w:val="009C1478"/>
    <w:rsid w:val="009C5AE2"/>
    <w:rsid w:val="009C5E43"/>
    <w:rsid w:val="009D4C35"/>
    <w:rsid w:val="009F44CE"/>
    <w:rsid w:val="009F45A2"/>
    <w:rsid w:val="00A13031"/>
    <w:rsid w:val="00A13B30"/>
    <w:rsid w:val="00A17E12"/>
    <w:rsid w:val="00A31C6F"/>
    <w:rsid w:val="00A36641"/>
    <w:rsid w:val="00A44E76"/>
    <w:rsid w:val="00A56BD6"/>
    <w:rsid w:val="00A70248"/>
    <w:rsid w:val="00A71289"/>
    <w:rsid w:val="00A94A7D"/>
    <w:rsid w:val="00AB5F52"/>
    <w:rsid w:val="00AD0760"/>
    <w:rsid w:val="00AE347B"/>
    <w:rsid w:val="00AF3BDF"/>
    <w:rsid w:val="00B05E9B"/>
    <w:rsid w:val="00B1422D"/>
    <w:rsid w:val="00B4298D"/>
    <w:rsid w:val="00B557FF"/>
    <w:rsid w:val="00B62664"/>
    <w:rsid w:val="00B67251"/>
    <w:rsid w:val="00B71C23"/>
    <w:rsid w:val="00B7509E"/>
    <w:rsid w:val="00B84AB3"/>
    <w:rsid w:val="00BA6421"/>
    <w:rsid w:val="00BC1311"/>
    <w:rsid w:val="00BC275F"/>
    <w:rsid w:val="00BD27A7"/>
    <w:rsid w:val="00BD6CE7"/>
    <w:rsid w:val="00BF7B36"/>
    <w:rsid w:val="00C167AE"/>
    <w:rsid w:val="00C174FB"/>
    <w:rsid w:val="00C2280F"/>
    <w:rsid w:val="00C22D70"/>
    <w:rsid w:val="00C3537B"/>
    <w:rsid w:val="00C437E1"/>
    <w:rsid w:val="00C46AB2"/>
    <w:rsid w:val="00C532F7"/>
    <w:rsid w:val="00C61AF8"/>
    <w:rsid w:val="00C61D11"/>
    <w:rsid w:val="00C631A7"/>
    <w:rsid w:val="00C807FF"/>
    <w:rsid w:val="00C852FC"/>
    <w:rsid w:val="00C87327"/>
    <w:rsid w:val="00C928EF"/>
    <w:rsid w:val="00CB1A53"/>
    <w:rsid w:val="00CB3A8E"/>
    <w:rsid w:val="00CC4566"/>
    <w:rsid w:val="00D00492"/>
    <w:rsid w:val="00D06BB6"/>
    <w:rsid w:val="00D11D56"/>
    <w:rsid w:val="00D202D4"/>
    <w:rsid w:val="00D31EBB"/>
    <w:rsid w:val="00D35CFC"/>
    <w:rsid w:val="00D40DDD"/>
    <w:rsid w:val="00D41235"/>
    <w:rsid w:val="00D52BD5"/>
    <w:rsid w:val="00D77AAC"/>
    <w:rsid w:val="00D848CD"/>
    <w:rsid w:val="00D91B58"/>
    <w:rsid w:val="00D91D27"/>
    <w:rsid w:val="00D9356A"/>
    <w:rsid w:val="00DA0054"/>
    <w:rsid w:val="00DB0CDA"/>
    <w:rsid w:val="00DB2B39"/>
    <w:rsid w:val="00DC1515"/>
    <w:rsid w:val="00DC72EB"/>
    <w:rsid w:val="00DC779F"/>
    <w:rsid w:val="00DD0AD4"/>
    <w:rsid w:val="00DE4896"/>
    <w:rsid w:val="00E02B2F"/>
    <w:rsid w:val="00E043B1"/>
    <w:rsid w:val="00E20EB3"/>
    <w:rsid w:val="00E52C48"/>
    <w:rsid w:val="00E61623"/>
    <w:rsid w:val="00E61A75"/>
    <w:rsid w:val="00E65072"/>
    <w:rsid w:val="00E6697A"/>
    <w:rsid w:val="00E71D45"/>
    <w:rsid w:val="00E8330D"/>
    <w:rsid w:val="00E93F38"/>
    <w:rsid w:val="00EC3760"/>
    <w:rsid w:val="00EC67A5"/>
    <w:rsid w:val="00ED2109"/>
    <w:rsid w:val="00ED2721"/>
    <w:rsid w:val="00EE3210"/>
    <w:rsid w:val="00F01C97"/>
    <w:rsid w:val="00F25C7D"/>
    <w:rsid w:val="00F25E58"/>
    <w:rsid w:val="00F50E45"/>
    <w:rsid w:val="00F5503E"/>
    <w:rsid w:val="00F6617B"/>
    <w:rsid w:val="00F66830"/>
    <w:rsid w:val="00F67736"/>
    <w:rsid w:val="00F728B9"/>
    <w:rsid w:val="00F807D7"/>
    <w:rsid w:val="00F93284"/>
    <w:rsid w:val="00FA084C"/>
    <w:rsid w:val="00FA1F8F"/>
    <w:rsid w:val="00FA3D31"/>
    <w:rsid w:val="00FA4B0F"/>
    <w:rsid w:val="00FB2BA4"/>
    <w:rsid w:val="00FB75BE"/>
    <w:rsid w:val="00FC5D97"/>
    <w:rsid w:val="00FD337C"/>
    <w:rsid w:val="00FE4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CA672"/>
  <w15:docId w15:val="{5CEC46F9-6CC5-4BD5-82C6-BB024C99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4"/>
    </w:rPr>
  </w:style>
  <w:style w:type="paragraph" w:styleId="Heading1">
    <w:name w:val="heading 1"/>
    <w:basedOn w:val="Title"/>
    <w:next w:val="Normal"/>
    <w:link w:val="Heading1Char"/>
    <w:uiPriority w:val="9"/>
    <w:qFormat/>
    <w:pPr>
      <w:outlineLvl w:val="0"/>
    </w:pPr>
    <w:rPr>
      <w:rFonts w:cs="Arial"/>
      <w:color w:val="595959" w:themeColor="text1" w:themeTint="A6"/>
      <w:sz w:val="56"/>
      <w:szCs w:val="56"/>
    </w:rPr>
  </w:style>
  <w:style w:type="paragraph" w:styleId="Heading2">
    <w:name w:val="heading 2"/>
    <w:basedOn w:val="Normal"/>
    <w:next w:val="Normal"/>
    <w:link w:val="Heading2Char"/>
    <w:uiPriority w:val="9"/>
    <w:unhideWhenUsed/>
    <w:qFormat/>
    <w:pPr>
      <w:keepNext/>
      <w:keepLines/>
      <w:spacing w:before="270" w:after="180"/>
      <w:outlineLvl w:val="1"/>
    </w:pPr>
    <w:rPr>
      <w:rFonts w:ascii="Arial" w:eastAsiaTheme="majorEastAsia" w:hAnsi="Arial" w:cs="Arial"/>
      <w:bCs/>
      <w:color w:val="128DC4" w:themeColor="accent6"/>
      <w:sz w:val="32"/>
      <w:szCs w:val="32"/>
    </w:rPr>
  </w:style>
  <w:style w:type="paragraph" w:styleId="Heading3">
    <w:name w:val="heading 3"/>
    <w:basedOn w:val="Normal"/>
    <w:next w:val="Normal"/>
    <w:link w:val="Heading3Char"/>
    <w:uiPriority w:val="9"/>
    <w:unhideWhenUsed/>
    <w:qFormat/>
    <w:pPr>
      <w:keepNext/>
      <w:keepLines/>
      <w:spacing w:before="240" w:after="120"/>
      <w:outlineLvl w:val="2"/>
    </w:pPr>
    <w:rPr>
      <w:rFonts w:asciiTheme="majorHAnsi" w:eastAsiaTheme="majorEastAsia" w:hAnsiTheme="majorHAnsi" w:cstheme="majorBidi"/>
      <w:bCs/>
      <w:color w:val="128DC4" w:themeColor="accent6"/>
      <w:sz w:val="26"/>
      <w:szCs w:val="26"/>
    </w:rPr>
  </w:style>
  <w:style w:type="paragraph" w:styleId="Heading4">
    <w:name w:val="heading 4"/>
    <w:basedOn w:val="TableHead"/>
    <w:next w:val="Normal"/>
    <w:link w:val="Heading4Char"/>
    <w:uiPriority w:val="9"/>
    <w:unhideWhenUsed/>
    <w:qFormat/>
    <w:pPr>
      <w:outlineLvl w:val="3"/>
    </w:pPr>
  </w:style>
  <w:style w:type="paragraph" w:styleId="Heading5">
    <w:name w:val="heading 5"/>
    <w:basedOn w:val="Normal"/>
    <w:next w:val="Normal"/>
    <w:link w:val="Heading5Char"/>
    <w:uiPriority w:val="9"/>
    <w:unhideWhenUsed/>
    <w:qFormat/>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autoSpaceDE w:val="0"/>
      <w:autoSpaceDN w:val="0"/>
      <w:adjustRightInd w:val="0"/>
      <w:spacing w:before="120"/>
    </w:pPr>
    <w:rPr>
      <w:rFonts w:ascii="Arial" w:hAnsi="Arial" w:cs="Arial"/>
      <w:sz w:val="16"/>
      <w:szCs w:val="16"/>
    </w:rPr>
  </w:style>
  <w:style w:type="character" w:customStyle="1" w:styleId="FooterChar">
    <w:name w:val="Footer Char"/>
    <w:basedOn w:val="DefaultParagraphFont"/>
    <w:link w:val="Footer"/>
    <w:uiPriority w:val="99"/>
    <w:rPr>
      <w:rFonts w:ascii="Arial" w:eastAsiaTheme="minorHAnsi" w:hAnsi="Arial" w:cs="Arial"/>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Arial" w:eastAsiaTheme="majorEastAsia" w:hAnsi="Arial" w:cs="Arial"/>
      <w:b/>
      <w:color w:val="595959" w:themeColor="text1" w:themeTint="A6"/>
      <w:spacing w:val="5"/>
      <w:kern w:val="28"/>
      <w:sz w:val="56"/>
      <w:szCs w:val="56"/>
    </w:rPr>
  </w:style>
  <w:style w:type="character" w:customStyle="1" w:styleId="Heading2Char">
    <w:name w:val="Heading 2 Char"/>
    <w:basedOn w:val="DefaultParagraphFont"/>
    <w:link w:val="Heading2"/>
    <w:uiPriority w:val="9"/>
    <w:rPr>
      <w:rFonts w:ascii="Arial" w:eastAsiaTheme="majorEastAsia" w:hAnsi="Arial" w:cs="Arial"/>
      <w:bCs/>
      <w:color w:val="128DC4" w:themeColor="accent6"/>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Cs/>
      <w:color w:val="128DC4" w:themeColor="accent6"/>
      <w:sz w:val="26"/>
      <w:szCs w:val="26"/>
    </w:rPr>
  </w:style>
  <w:style w:type="character" w:customStyle="1" w:styleId="Heading4Char">
    <w:name w:val="Heading 4 Char"/>
    <w:basedOn w:val="DefaultParagraphFont"/>
    <w:link w:val="Heading4"/>
    <w:uiPriority w:val="9"/>
    <w:rPr>
      <w:rFonts w:ascii="Arial" w:eastAsia="Calibri" w:hAnsi="Arial" w:cs="Arial"/>
      <w:b/>
      <w:bCs/>
      <w:color w:val="FFFFFF" w:themeColor="background1"/>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0"/>
    </w:rPr>
  </w:style>
  <w:style w:type="paragraph" w:styleId="ListBullet">
    <w:name w:val="List Bullet"/>
    <w:basedOn w:val="Bullet1"/>
    <w:uiPriority w:val="99"/>
    <w:unhideWhenUsed/>
  </w:style>
  <w:style w:type="paragraph" w:styleId="ListBullet2">
    <w:name w:val="List Bullet 2"/>
    <w:basedOn w:val="Bullet2"/>
    <w:uiPriority w:val="99"/>
    <w:unhideWhenUsed/>
    <w:rPr>
      <w:rFonts w:cs="Arial"/>
      <w:color w:val="262626"/>
    </w:rPr>
  </w:style>
  <w:style w:type="paragraph" w:styleId="ListBullet3">
    <w:name w:val="List Bullet 3"/>
    <w:basedOn w:val="Bullet3"/>
    <w:uiPriority w:val="99"/>
    <w:unhideWhenUsed/>
  </w:style>
  <w:style w:type="paragraph" w:styleId="ListBullet4">
    <w:name w:val="List Bullet 4"/>
    <w:basedOn w:val="Normal"/>
    <w:uiPriority w:val="99"/>
    <w:unhideWhenUsed/>
    <w:pPr>
      <w:numPr>
        <w:numId w:val="1"/>
      </w:numPr>
      <w:tabs>
        <w:tab w:val="clear" w:pos="1440"/>
        <w:tab w:val="num" w:pos="1800"/>
      </w:tabs>
      <w:spacing w:before="120"/>
      <w:ind w:left="1800"/>
    </w:pPr>
  </w:style>
  <w:style w:type="paragraph" w:styleId="ListBullet5">
    <w:name w:val="List Bullet 5"/>
    <w:basedOn w:val="Normal"/>
    <w:uiPriority w:val="99"/>
    <w:unhideWhenUsed/>
    <w:pPr>
      <w:numPr>
        <w:numId w:val="2"/>
      </w:numPr>
      <w:tabs>
        <w:tab w:val="clear" w:pos="1800"/>
        <w:tab w:val="num" w:pos="2160"/>
      </w:tabs>
      <w:spacing w:before="120"/>
      <w:ind w:left="2160"/>
    </w:pPr>
  </w:style>
  <w:style w:type="paragraph" w:styleId="ListNumber">
    <w:name w:val="List Number"/>
    <w:basedOn w:val="Normal"/>
    <w:uiPriority w:val="99"/>
    <w:unhideWhenUsed/>
    <w:pPr>
      <w:numPr>
        <w:numId w:val="3"/>
      </w:numPr>
      <w:tabs>
        <w:tab w:val="clear" w:pos="360"/>
      </w:tabs>
      <w:spacing w:after="120" w:line="280" w:lineRule="exact"/>
      <w:ind w:left="720"/>
    </w:pPr>
    <w:rPr>
      <w:rFonts w:ascii="Arial" w:eastAsiaTheme="minorEastAsia" w:hAnsi="Arial" w:cs="Arial"/>
      <w:color w:val="262626"/>
      <w:sz w:val="20"/>
      <w:szCs w:val="20"/>
    </w:rPr>
  </w:style>
  <w:style w:type="paragraph" w:styleId="ListNumber2">
    <w:name w:val="List Number 2"/>
    <w:basedOn w:val="Normal"/>
    <w:uiPriority w:val="99"/>
    <w:semiHidden/>
    <w:unhideWhenUsed/>
    <w:pPr>
      <w:numPr>
        <w:numId w:val="4"/>
      </w:numPr>
      <w:spacing w:before="120"/>
    </w:pPr>
  </w:style>
  <w:style w:type="paragraph" w:styleId="ListNumber3">
    <w:name w:val="List Number 3"/>
    <w:basedOn w:val="Normal"/>
    <w:uiPriority w:val="99"/>
    <w:semiHidden/>
    <w:unhideWhenUsed/>
    <w:pPr>
      <w:numPr>
        <w:numId w:val="5"/>
      </w:numPr>
      <w:spacing w:before="120"/>
    </w:pPr>
  </w:style>
  <w:style w:type="paragraph" w:styleId="ListNumber4">
    <w:name w:val="List Number 4"/>
    <w:basedOn w:val="Normal"/>
    <w:uiPriority w:val="99"/>
    <w:semiHidden/>
    <w:unhideWhenUsed/>
    <w:pPr>
      <w:numPr>
        <w:numId w:val="6"/>
      </w:numPr>
      <w:spacing w:before="120"/>
    </w:pPr>
  </w:style>
  <w:style w:type="paragraph" w:styleId="ListNumber5">
    <w:name w:val="List Number 5"/>
    <w:basedOn w:val="Normal"/>
    <w:uiPriority w:val="99"/>
    <w:semiHidden/>
    <w:unhideWhenUsed/>
    <w:pPr>
      <w:numPr>
        <w:numId w:val="7"/>
      </w:numPr>
      <w:spacing w:before="120"/>
    </w:pPr>
  </w:style>
  <w:style w:type="paragraph" w:styleId="TOCHeading">
    <w:name w:val="TOC Heading"/>
    <w:basedOn w:val="Heading1"/>
    <w:next w:val="Normal"/>
    <w:uiPriority w:val="39"/>
    <w:semiHidden/>
    <w:unhideWhenUsed/>
    <w:qFormat/>
    <w:pPr>
      <w:jc w:val="center"/>
      <w:outlineLvl w:val="9"/>
    </w:pPr>
  </w:style>
  <w:style w:type="paragraph" w:styleId="TOAHeading">
    <w:name w:val="toa heading"/>
    <w:basedOn w:val="Normal"/>
    <w:next w:val="Normal"/>
    <w:uiPriority w:val="99"/>
    <w:semiHidden/>
    <w:unhideWhenUsed/>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style>
  <w:style w:type="paragraph" w:styleId="BodyText">
    <w:name w:val="Body Text"/>
    <w:basedOn w:val="Normal"/>
    <w:link w:val="BodyTextChar"/>
    <w:unhideWhenUsed/>
    <w:qFormat/>
    <w:pPr>
      <w:spacing w:after="180" w:line="280" w:lineRule="exact"/>
    </w:pPr>
    <w:rPr>
      <w:rFonts w:ascii="Arial" w:hAnsi="Arial" w:cs="Arial"/>
      <w:color w:val="262626"/>
      <w:sz w:val="20"/>
      <w:szCs w:val="20"/>
    </w:rPr>
  </w:style>
  <w:style w:type="character" w:customStyle="1" w:styleId="BodyTextChar">
    <w:name w:val="Body Text Char"/>
    <w:basedOn w:val="DefaultParagraphFont"/>
    <w:link w:val="BodyText"/>
    <w:rPr>
      <w:rFonts w:ascii="Arial" w:eastAsiaTheme="minorHAnsi" w:hAnsi="Arial" w:cs="Arial"/>
      <w:color w:val="262626"/>
      <w:sz w:val="20"/>
      <w:szCs w:val="20"/>
    </w:rPr>
  </w:style>
  <w:style w:type="paragraph" w:customStyle="1" w:styleId="TableHead">
    <w:name w:val="Table Head"/>
    <w:basedOn w:val="Caption"/>
    <w:next w:val="BodyText"/>
    <w:pPr>
      <w:tabs>
        <w:tab w:val="left" w:pos="3682"/>
      </w:tabs>
      <w:spacing w:before="120"/>
    </w:pPr>
    <w:rPr>
      <w:rFonts w:ascii="Arial" w:eastAsia="Calibri" w:hAnsi="Arial" w:cs="Arial"/>
      <w:bCs/>
      <w:color w:val="FFFFFF" w:themeColor="background1"/>
    </w:rPr>
  </w:style>
  <w:style w:type="paragraph" w:customStyle="1" w:styleId="TableText">
    <w:name w:val="Table Text"/>
    <w:basedOn w:val="BodyText"/>
    <w:qFormat/>
    <w:pPr>
      <w:spacing w:before="40" w:after="40"/>
    </w:pPr>
    <w:rPr>
      <w:rFonts w:eastAsia="Calibri" w:cs="Times New Roman"/>
    </w:rPr>
  </w:style>
  <w:style w:type="paragraph" w:customStyle="1" w:styleId="TableTextCentered">
    <w:name w:val="Table Text Centered"/>
    <w:basedOn w:val="TableText"/>
    <w:pPr>
      <w:jc w:val="center"/>
    </w:pPr>
  </w:style>
  <w:style w:type="paragraph" w:customStyle="1" w:styleId="TableColumnHead">
    <w:name w:val="Table Column Head"/>
    <w:basedOn w:val="TableText"/>
    <w:rPr>
      <w:b/>
      <w:bCs/>
    </w:rPr>
  </w:style>
  <w:style w:type="paragraph" w:customStyle="1" w:styleId="TableColumnHeadCentered">
    <w:name w:val="Table Column Head Centered"/>
    <w:basedOn w:val="TableColumnHead"/>
    <w:pPr>
      <w:jc w:val="center"/>
    </w:pPr>
    <w:rPr>
      <w:bCs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style>
  <w:style w:type="paragraph" w:styleId="Title">
    <w:name w:val="Title"/>
    <w:basedOn w:val="Normal"/>
    <w:next w:val="Normal"/>
    <w:link w:val="TitleChar"/>
    <w:uiPriority w:val="10"/>
    <w:qFormat/>
    <w:pPr>
      <w:spacing w:after="300"/>
      <w:contextualSpacing/>
    </w:pPr>
    <w:rPr>
      <w:rFonts w:ascii="Arial" w:eastAsiaTheme="majorEastAsia" w:hAnsi="Arial" w:cstheme="majorBidi"/>
      <w:b/>
      <w:color w:val="3A5877" w:themeColor="text2" w:themeShade="BF"/>
      <w:spacing w:val="5"/>
      <w:kern w:val="28"/>
      <w:sz w:val="40"/>
      <w:szCs w:val="40"/>
    </w:rPr>
  </w:style>
  <w:style w:type="character" w:customStyle="1" w:styleId="TitleChar">
    <w:name w:val="Title Char"/>
    <w:basedOn w:val="DefaultParagraphFont"/>
    <w:link w:val="Title"/>
    <w:uiPriority w:val="10"/>
    <w:rPr>
      <w:rFonts w:ascii="Arial" w:eastAsiaTheme="majorEastAsia" w:hAnsi="Arial" w:cstheme="majorBidi"/>
      <w:b/>
      <w:color w:val="3A5877" w:themeColor="text2" w:themeShade="BF"/>
      <w:spacing w:val="5"/>
      <w:kern w:val="28"/>
      <w:sz w:val="40"/>
      <w:szCs w:val="40"/>
    </w:rPr>
  </w:style>
  <w:style w:type="table" w:customStyle="1" w:styleId="AIRTable">
    <w:name w:val="AIR Table"/>
    <w:basedOn w:val="TableNormal"/>
    <w:uiPriority w:val="9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ableSourceNote">
    <w:name w:val="Table Source Note"/>
    <w:basedOn w:val="BodyText"/>
    <w:next w:val="BodyText"/>
    <w:link w:val="TableSourceNoteChar"/>
    <w:qFormat/>
    <w:pPr>
      <w:spacing w:before="120"/>
    </w:pPr>
  </w:style>
  <w:style w:type="character" w:customStyle="1" w:styleId="TableSourceNoteChar">
    <w:name w:val="Table Source Note Char"/>
    <w:basedOn w:val="BodyTextChar"/>
    <w:link w:val="TableSourceNote"/>
    <w:rPr>
      <w:rFonts w:ascii="Arial" w:eastAsiaTheme="minorHAnsi" w:hAnsi="Arial" w:cs="Arial"/>
      <w:color w:val="262626"/>
      <w:sz w:val="20"/>
      <w:szCs w:val="20"/>
    </w:rPr>
  </w:style>
  <w:style w:type="paragraph" w:customStyle="1" w:styleId="CoverPubID">
    <w:name w:val="Cover PubID"/>
    <w:basedOn w:val="Normal"/>
    <w:qFormat/>
    <w:pPr>
      <w:tabs>
        <w:tab w:val="right" w:pos="9360"/>
      </w:tabs>
      <w:jc w:val="right"/>
    </w:pPr>
    <w:rPr>
      <w:sz w:val="16"/>
    </w:rPr>
  </w:style>
  <w:style w:type="paragraph" w:customStyle="1" w:styleId="TableBullet1">
    <w:name w:val="Table Bullet 1"/>
    <w:basedOn w:val="TableText"/>
    <w:qFormat/>
    <w:pPr>
      <w:numPr>
        <w:numId w:val="8"/>
      </w:numPr>
      <w:spacing w:before="0" w:after="0"/>
      <w:ind w:left="243" w:hanging="243"/>
    </w:pPr>
    <w:rPr>
      <w:rFonts w:eastAsiaTheme="minorEastAsia" w:cs="Arial"/>
      <w:szCs w:val="24"/>
    </w:rPr>
  </w:style>
  <w:style w:type="paragraph" w:customStyle="1" w:styleId="Bullet1">
    <w:name w:val="Bullet 1"/>
    <w:basedOn w:val="Normal"/>
    <w:qFormat/>
    <w:pPr>
      <w:numPr>
        <w:numId w:val="10"/>
      </w:numPr>
      <w:spacing w:after="120" w:line="280" w:lineRule="exact"/>
    </w:pPr>
    <w:rPr>
      <w:rFonts w:ascii="Arial" w:eastAsia="Times New Roman" w:hAnsi="Arial" w:cs="Times New Roman"/>
      <w:sz w:val="20"/>
      <w:szCs w:val="20"/>
    </w:rPr>
  </w:style>
  <w:style w:type="paragraph" w:customStyle="1" w:styleId="Bullet2">
    <w:name w:val="Bullet 2"/>
    <w:basedOn w:val="Normal"/>
    <w:uiPriority w:val="2"/>
    <w:qFormat/>
    <w:pPr>
      <w:numPr>
        <w:numId w:val="9"/>
      </w:numPr>
      <w:spacing w:after="120" w:line="250" w:lineRule="exact"/>
    </w:pPr>
    <w:rPr>
      <w:rFonts w:ascii="Arial" w:eastAsia="Times New Roman" w:hAnsi="Arial" w:cs="Times New Roman"/>
      <w:sz w:val="20"/>
      <w:szCs w:val="20"/>
    </w:rPr>
  </w:style>
  <w:style w:type="paragraph" w:customStyle="1" w:styleId="Bullet3">
    <w:name w:val="Bullet 3"/>
    <w:basedOn w:val="Normal"/>
    <w:uiPriority w:val="2"/>
    <w:qFormat/>
    <w:pPr>
      <w:numPr>
        <w:ilvl w:val="1"/>
        <w:numId w:val="9"/>
      </w:numPr>
      <w:spacing w:after="120" w:line="250" w:lineRule="exact"/>
      <w:contextualSpacing/>
    </w:pPr>
    <w:rPr>
      <w:rFonts w:ascii="Arial" w:hAnsi="Arial"/>
      <w:sz w:val="20"/>
      <w:szCs w:val="20"/>
    </w:rPr>
  </w:style>
  <w:style w:type="paragraph" w:customStyle="1" w:styleId="NumberedList">
    <w:name w:val="Numbered List"/>
    <w:basedOn w:val="Normal"/>
    <w:uiPriority w:val="2"/>
    <w:qFormat/>
    <w:pPr>
      <w:numPr>
        <w:numId w:val="11"/>
      </w:numPr>
      <w:spacing w:before="120"/>
    </w:pPr>
    <w:rPr>
      <w:rFonts w:eastAsia="Times New Roman" w:cs="Times New Roman"/>
      <w:szCs w:val="24"/>
    </w:rPr>
  </w:style>
  <w:style w:type="paragraph" w:customStyle="1" w:styleId="TableBullet2">
    <w:name w:val="Table Bullet 2"/>
    <w:basedOn w:val="TableText"/>
    <w:uiPriority w:val="7"/>
    <w:qFormat/>
    <w:pPr>
      <w:numPr>
        <w:numId w:val="13"/>
      </w:numPr>
      <w:ind w:left="567" w:hanging="297"/>
    </w:pPr>
    <w:rPr>
      <w:rFonts w:asciiTheme="minorHAnsi" w:hAnsiTheme="minorHAnsi"/>
    </w:rPr>
  </w:style>
  <w:style w:type="paragraph" w:customStyle="1" w:styleId="TableNumbering">
    <w:name w:val="Table Numbering"/>
    <w:basedOn w:val="TableText"/>
    <w:uiPriority w:val="7"/>
    <w:qFormat/>
    <w:pPr>
      <w:numPr>
        <w:numId w:val="12"/>
      </w:numPr>
      <w:ind w:left="270" w:hanging="270"/>
    </w:pPr>
    <w:rPr>
      <w:rFonts w:eastAsiaTheme="minorEastAsia"/>
      <w:szCs w:val="24"/>
    </w:rPr>
  </w:style>
  <w:style w:type="paragraph" w:customStyle="1" w:styleId="TableNote">
    <w:name w:val="Table Note"/>
    <w:basedOn w:val="Normal"/>
    <w:qFormat/>
    <w:pPr>
      <w:spacing w:before="120"/>
    </w:pPr>
    <w:rPr>
      <w:rFonts w:eastAsia="Times New Roman" w:cs="Times New Roman"/>
      <w:sz w:val="20"/>
      <w:szCs w:val="24"/>
    </w:rPr>
  </w:style>
  <w:style w:type="paragraph" w:customStyle="1" w:styleId="TableTitle">
    <w:name w:val="Table Title"/>
    <w:basedOn w:val="Normal"/>
    <w:qFormat/>
    <w:pPr>
      <w:keepNext/>
      <w:spacing w:before="240" w:after="120"/>
    </w:pPr>
    <w:rPr>
      <w:rFonts w:eastAsia="Times New Roman" w:cs="Times"/>
      <w:b/>
      <w:szCs w:val="24"/>
    </w:rPr>
  </w:style>
  <w:style w:type="paragraph" w:customStyle="1" w:styleId="TableColHeadingLeft">
    <w:name w:val="Table Col Heading Left"/>
    <w:basedOn w:val="TableText"/>
    <w:qFormat/>
    <w:rPr>
      <w:rFonts w:asciiTheme="majorHAnsi" w:eastAsiaTheme="minorEastAsia" w:hAnsiTheme="majorHAnsi"/>
      <w:b/>
      <w:bCs/>
    </w:rPr>
  </w:style>
  <w:style w:type="paragraph" w:customStyle="1" w:styleId="TableColHeadingCenter">
    <w:name w:val="Table Col Heading Center"/>
    <w:basedOn w:val="TableColHeadingLeft"/>
    <w:qFormat/>
    <w:pPr>
      <w:jc w:val="center"/>
    </w:pPr>
  </w:style>
  <w:style w:type="paragraph" w:customStyle="1" w:styleId="BlockQuote">
    <w:name w:val="Block Quote"/>
    <w:basedOn w:val="BodyText"/>
    <w:qFormat/>
    <w:pPr>
      <w:spacing w:before="120"/>
      <w:ind w:left="720"/>
    </w:pPr>
    <w:rPr>
      <w:rFonts w:eastAsia="Times New Roman" w:cs="Times New Roman"/>
      <w:szCs w:val="24"/>
    </w:rPr>
  </w:style>
  <w:style w:type="paragraph" w:customStyle="1" w:styleId="TableSubheading">
    <w:name w:val="Table Subheading"/>
    <w:basedOn w:val="TableText"/>
    <w:qFormat/>
    <w:pPr>
      <w:ind w:left="72"/>
    </w:pPr>
    <w:rPr>
      <w:rFonts w:cs="Arial"/>
      <w:b/>
      <w:color w:val="FFFFFF" w:themeColor="background1"/>
    </w:rPr>
  </w:style>
  <w:style w:type="table" w:customStyle="1" w:styleId="CustomLightBlueTable">
    <w:name w:val="Custom Light Blue Table"/>
    <w:basedOn w:val="TableNormal"/>
    <w:uiPriority w:val="99"/>
    <w:pPr>
      <w:spacing w:before="40" w:after="40"/>
    </w:pPr>
    <w:rPr>
      <w:rFonts w:eastAsia="Times New Roman"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A1BFDF"/>
      </w:tcPr>
    </w:tblStylePr>
    <w:tblStylePr w:type="band1Horz">
      <w:tblPr/>
      <w:tcPr>
        <w:shd w:val="clear" w:color="auto" w:fill="D0DFEF"/>
      </w:tc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346094" w:themeColor="accent1"/>
      <w:u w:val="single"/>
    </w:rPr>
  </w:style>
  <w:style w:type="paragraph" w:styleId="FootnoteText">
    <w:name w:val="footnote text"/>
    <w:basedOn w:val="Normal"/>
    <w:link w:val="FootnoteTextChar"/>
    <w:uiPriority w:val="99"/>
    <w:unhideWhenUsed/>
    <w:rPr>
      <w:sz w:val="16"/>
      <w:szCs w:val="20"/>
    </w:rPr>
  </w:style>
  <w:style w:type="character" w:customStyle="1" w:styleId="FootnoteTextChar">
    <w:name w:val="Footnote Text Char"/>
    <w:basedOn w:val="DefaultParagraphFont"/>
    <w:link w:val="FootnoteText"/>
    <w:uiPriority w:val="99"/>
    <w:rPr>
      <w:rFonts w:eastAsiaTheme="minorHAnsi"/>
      <w:sz w:val="16"/>
      <w:szCs w:val="20"/>
    </w:rPr>
  </w:style>
  <w:style w:type="character" w:styleId="FootnoteReference">
    <w:name w:val="footnote reference"/>
    <w:basedOn w:val="DefaultParagraphFont"/>
    <w:uiPriority w:val="99"/>
    <w:unhideWhenUsed/>
    <w:rPr>
      <w:vertAlign w:val="superscript"/>
    </w:rPr>
  </w:style>
  <w:style w:type="table" w:customStyle="1" w:styleId="TableGrid1">
    <w:name w:val="Table Grid1"/>
    <w:basedOn w:val="TableNormal"/>
    <w:next w:val="TableGrid"/>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eastAsiaTheme="minorHAnsi"/>
      <w:sz w:val="24"/>
    </w:rPr>
  </w:style>
  <w:style w:type="character" w:styleId="FollowedHyperlink">
    <w:name w:val="FollowedHyperlink"/>
    <w:basedOn w:val="DefaultParagraphFont"/>
    <w:uiPriority w:val="99"/>
    <w:semiHidden/>
    <w:unhideWhenUsed/>
    <w:rPr>
      <w:color w:val="128DC4" w:themeColor="followedHyperlink"/>
      <w:u w:val="single"/>
    </w:rPr>
  </w:style>
  <w:style w:type="character" w:customStyle="1" w:styleId="Heading2Parttext">
    <w:name w:val="Heading 2 Part text"/>
    <w:basedOn w:val="DefaultParagraphFont"/>
    <w:uiPriority w:val="1"/>
    <w:qFormat/>
    <w:rPr>
      <w:rFonts w:ascii="Arial Black" w:hAnsi="Arial Black"/>
      <w:color w:val="128DC4" w:themeColor="accent6"/>
      <w:sz w:val="44"/>
      <w:szCs w:val="44"/>
    </w:rPr>
  </w:style>
  <w:style w:type="paragraph" w:customStyle="1" w:styleId="CommentBoxText">
    <w:name w:val="Comment Box Text"/>
    <w:qFormat/>
    <w:pPr>
      <w:spacing w:line="240" w:lineRule="exact"/>
      <w:jc w:val="center"/>
    </w:pPr>
    <w:rPr>
      <w:rFonts w:ascii="Arial Narrow" w:hAnsi="Arial Narrow" w:cstheme="minorHAnsi"/>
      <w:bCs/>
      <w:color w:val="FFFFFF" w:themeColor="background1"/>
      <w:sz w:val="18"/>
      <w:szCs w:val="18"/>
    </w:r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Bullet2"/>
    <w:qFormat/>
    <w:pPr>
      <w:numPr>
        <w:ilvl w:val="1"/>
      </w:numPr>
      <w:ind w:left="900" w:hanging="270"/>
    </w:pPr>
  </w:style>
  <w:style w:type="paragraph" w:customStyle="1" w:styleId="TableBullet4">
    <w:name w:val="Table Bullet 4"/>
    <w:basedOn w:val="TableBullet3"/>
    <w:qFormat/>
    <w:pPr>
      <w:numPr>
        <w:ilvl w:val="2"/>
        <w:numId w:val="15"/>
      </w:numPr>
      <w:ind w:left="1260"/>
    </w:pPr>
  </w:style>
  <w:style w:type="table" w:customStyle="1" w:styleId="TableGrid5">
    <w:name w:val="Table Grid5"/>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6above">
    <w:name w:val="Table Text +6 above"/>
    <w:basedOn w:val="TableText"/>
    <w:qFormat/>
    <w:pPr>
      <w:spacing w:before="120"/>
    </w:pPr>
  </w:style>
  <w:style w:type="paragraph" w:customStyle="1" w:styleId="Default">
    <w:name w:val="Default"/>
    <w:pPr>
      <w:autoSpaceDE w:val="0"/>
      <w:autoSpaceDN w:val="0"/>
      <w:adjustRightInd w:val="0"/>
    </w:pPr>
    <w:rPr>
      <w:rFonts w:ascii="Gotham Medium" w:hAnsi="Gotham Medium" w:cs="Gotham Medium"/>
      <w:color w:val="000000"/>
      <w:sz w:val="24"/>
      <w:szCs w:val="24"/>
    </w:rPr>
  </w:style>
  <w:style w:type="paragraph" w:customStyle="1" w:styleId="IconSpace">
    <w:name w:val="Icon Space"/>
    <w:qFormat/>
    <w:pPr>
      <w:ind w:left="-72"/>
      <w:jc w:val="right"/>
    </w:pPr>
    <w:rPr>
      <w:rFonts w:ascii="Arial" w:eastAsia="Calibri" w:hAnsi="Arial" w:cs="Arial"/>
      <w:b/>
      <w:color w:val="FFFFFF" w:themeColor="background1"/>
      <w:sz w:val="2"/>
      <w:szCs w:val="20"/>
    </w:rPr>
  </w:style>
  <w:style w:type="paragraph" w:customStyle="1" w:styleId="TableNarrowSpace">
    <w:name w:val="Table Narrow Space"/>
    <w:basedOn w:val="TableText"/>
    <w:qFormat/>
    <w:pPr>
      <w:spacing w:line="240" w:lineRule="auto"/>
    </w:pPr>
    <w:rPr>
      <w:spacing w:val="-4"/>
      <w:sz w:val="8"/>
      <w:szCs w:val="8"/>
    </w:rPr>
  </w:style>
  <w:style w:type="paragraph" w:customStyle="1" w:styleId="TableBulletTight">
    <w:name w:val="Table Bullet Tight"/>
    <w:basedOn w:val="TableBullet1"/>
    <w:qFormat/>
    <w:pPr>
      <w:spacing w:line="240" w:lineRule="exact"/>
    </w:pPr>
  </w:style>
  <w:style w:type="paragraph" w:customStyle="1" w:styleId="TableTextTight">
    <w:name w:val="Table Text Tight"/>
    <w:basedOn w:val="TableText"/>
    <w:qFormat/>
    <w:pPr>
      <w:spacing w:before="0" w:after="0" w:line="240" w:lineRule="auto"/>
    </w:pPr>
  </w:style>
  <w:style w:type="paragraph" w:customStyle="1" w:styleId="TableSubheadKeepWithNext">
    <w:name w:val="Table Subhead Keep With Next"/>
    <w:basedOn w:val="TableSubheading"/>
    <w:qFormat/>
    <w:rsid w:val="004229D6"/>
    <w:pPr>
      <w:keepNext/>
    </w:pPr>
  </w:style>
  <w:style w:type="paragraph" w:customStyle="1" w:styleId="IconSpaceKeepWithNext">
    <w:name w:val="Icon Space Keep With Next"/>
    <w:basedOn w:val="IconSpace"/>
    <w:qFormat/>
    <w:rsid w:val="004B59B4"/>
    <w:pPr>
      <w:keepNex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hieve.org/files/FINAL-CCSSImplementationGuide.pdf" TargetMode="External"/><Relationship Id="rId18" Type="http://schemas.openxmlformats.org/officeDocument/2006/relationships/hyperlink" Target="http://www2.ed.gov/admins/lead/account/saa.html" TargetMode="External"/><Relationship Id="rId26" Type="http://schemas.openxmlformats.org/officeDocument/2006/relationships/hyperlink" Target="https://www2.ed.gov/policy/elsec/guid/altguidance.doc" TargetMode="External"/><Relationship Id="rId39" Type="http://schemas.openxmlformats.org/officeDocument/2006/relationships/hyperlink" Target="http://www.ccrscenter.org/sites/default/files/AskCCRS_LeveragingESSA.pdf" TargetMode="External"/><Relationship Id="rId21" Type="http://schemas.openxmlformats.org/officeDocument/2006/relationships/image" Target="media/image6.png"/><Relationship Id="rId34" Type="http://schemas.openxmlformats.org/officeDocument/2006/relationships/hyperlink" Target="https://www2.ed.gov/policy/elsec/leg/essa/essagradrateguidance.pdf" TargetMode="External"/><Relationship Id="rId42" Type="http://schemas.openxmlformats.org/officeDocument/2006/relationships/hyperlink" Target="https://www2.ed.gov/policy/elsec/leg/essa/guidanceuseseinvestment.pdf" TargetMode="External"/><Relationship Id="rId47" Type="http://schemas.openxmlformats.org/officeDocument/2006/relationships/image" Target="media/image8.png"/><Relationship Id="rId50" Type="http://schemas.openxmlformats.org/officeDocument/2006/relationships/hyperlink" Target="http://www.crpe.org/sites/default/files/crpe-measures-last-resort.pdf" TargetMode="External"/><Relationship Id="rId55" Type="http://schemas.openxmlformats.org/officeDocument/2006/relationships/hyperlink" Target="http://www.achieve.org/public-reporting"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ll4ed.org/wp-content/uploads/2013/06/LangAndLiteracyInStandardsELLs.pdf" TargetMode="External"/><Relationship Id="rId20" Type="http://schemas.openxmlformats.org/officeDocument/2006/relationships/image" Target="media/image5.png"/><Relationship Id="rId29" Type="http://schemas.openxmlformats.org/officeDocument/2006/relationships/image" Target="media/image7.png"/><Relationship Id="rId41" Type="http://schemas.openxmlformats.org/officeDocument/2006/relationships/hyperlink" Target="https://www2.ed.gov/policy/elsec/guid/stateletters/eseadclpartrate12222015.pdf" TargetMode="External"/><Relationship Id="rId54" Type="http://schemas.openxmlformats.org/officeDocument/2006/relationships/hyperlink" Target="http://www.achieve.org/files/CCR-ReportCardPolicyBriefMarch2013.pdf" TargetMode="External"/><Relationship Id="rId62"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hieve.org/files/CCSS-CTE-BridgingtheDivide.pdf" TargetMode="External"/><Relationship Id="rId24" Type="http://schemas.openxmlformats.org/officeDocument/2006/relationships/hyperlink" Target="http://www2.ed.gov/admins/lead/account/saa.html" TargetMode="External"/><Relationship Id="rId32" Type="http://schemas.openxmlformats.org/officeDocument/2006/relationships/hyperlink" Target="https://learningpolicyinstitute.org/product/equity-essa-report" TargetMode="External"/><Relationship Id="rId37" Type="http://schemas.openxmlformats.org/officeDocument/2006/relationships/hyperlink" Target="http://www.nciea.org/publication_PDFs/Marion%20Lyons_ESSA%20Accountability_5th%20Indicator_111416.pdf" TargetMode="External"/><Relationship Id="rId40" Type="http://schemas.openxmlformats.org/officeDocument/2006/relationships/hyperlink" Target="http://www.ccsso.org/Documents/2016/ESSA/KeyIssuesinAggregatingIndicators.pdf" TargetMode="External"/><Relationship Id="rId45" Type="http://schemas.openxmlformats.org/officeDocument/2006/relationships/hyperlink" Target="http://www.achieve.org/files/ConnectingCareerandTechnicalEducationwiththeCollegeandCareerReadinessAgenda.pdf" TargetMode="External"/><Relationship Id="rId53" Type="http://schemas.openxmlformats.org/officeDocument/2006/relationships/hyperlink" Target="https://www2.ed.gov/policy/elsec/leg/essa/essastatereportcard.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2.ed.gov/policy/elsec/leg/essa/essatitleiiiguidenglishlearners92016.pdf" TargetMode="External"/><Relationship Id="rId23" Type="http://schemas.openxmlformats.org/officeDocument/2006/relationships/hyperlink" Target="http://www.edweek.org/media/maz-guide%20to%20native%20language%20assessment%20v15-blog.pdf" TargetMode="External"/><Relationship Id="rId28" Type="http://schemas.openxmlformats.org/officeDocument/2006/relationships/hyperlink" Target="http://www.doe.virginia.gov/federal_programs/esea/assessment_accountability/non-reg_guidance_recently.pdf" TargetMode="External"/><Relationship Id="rId36" Type="http://schemas.openxmlformats.org/officeDocument/2006/relationships/hyperlink" Target="http://www.ccrscenter.org/sites/default/files/CCRS%20Center_Predictors%20of%20Postsecondary%20Success_final_0.pdf" TargetMode="External"/><Relationship Id="rId49" Type="http://schemas.openxmlformats.org/officeDocument/2006/relationships/hyperlink" Target="https://www.americanprogress.org/issues/education/reports/2016/09/13/143922/7-tenets-for-sustainable-school-turnaround/" TargetMode="External"/><Relationship Id="rId57" Type="http://schemas.openxmlformats.org/officeDocument/2006/relationships/header" Target="header1.xml"/><Relationship Id="rId61" Type="http://schemas.openxmlformats.org/officeDocument/2006/relationships/hyperlink" Target="mailto:ccrscenter@air.org" TargetMode="External"/><Relationship Id="rId10" Type="http://schemas.openxmlformats.org/officeDocument/2006/relationships/image" Target="media/image4.png"/><Relationship Id="rId19" Type="http://schemas.openxmlformats.org/officeDocument/2006/relationships/hyperlink" Target="http://nciea.org/publications/CCSSO_MAP07.pdf" TargetMode="External"/><Relationship Id="rId31" Type="http://schemas.openxmlformats.org/officeDocument/2006/relationships/hyperlink" Target="http://www.ccsso.org/Documents/EL%20Reclassification%20Working%20Paper_11%2005%2015%20Final.pdf" TargetMode="External"/><Relationship Id="rId44" Type="http://schemas.openxmlformats.org/officeDocument/2006/relationships/hyperlink" Target="http://www.schoolturnaroundsupport.org/sites/default/files/resources/AdvancingEquityThroughESSA101316.pdf" TargetMode="External"/><Relationship Id="rId52" Type="http://schemas.openxmlformats.org/officeDocument/2006/relationships/image" Target="media/image9.png"/><Relationship Id="rId60" Type="http://schemas.openxmlformats.org/officeDocument/2006/relationships/image" Target="media/image12.jp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chieve.org/files/NGSS_Workbook_PDF-3.1.13.pdf" TargetMode="External"/><Relationship Id="rId22" Type="http://schemas.openxmlformats.org/officeDocument/2006/relationships/hyperlink" Target="http://www.ccrscenter.org/products-resources/designing-assessments-college-and-career-readiness-performance-tasks" TargetMode="External"/><Relationship Id="rId27" Type="http://schemas.openxmlformats.org/officeDocument/2006/relationships/hyperlink" Target="https://edex.s3-us-west-2.amazonaws.com/08.31%20-%20High%20Stakes%20for%20High%20Achievers%20-%20State%20Accountability%20in%20the%20Age%20of%20ESSA%20%28URLs%29.pdf?mc_cid=0e7029ab63&amp;mc_eid=4f6e967790" TargetMode="External"/><Relationship Id="rId30" Type="http://schemas.openxmlformats.org/officeDocument/2006/relationships/hyperlink" Target="http://www.achieve.org/files/EnglishLanguageLearnersinNextGenerationAssessmentandAccountability.pdf" TargetMode="External"/><Relationship Id="rId35" Type="http://schemas.openxmlformats.org/officeDocument/2006/relationships/hyperlink" Target="http://www.achieve.org/publications/creating-p-20-continuum-actionable-academic-indicators-student-readiness" TargetMode="External"/><Relationship Id="rId43" Type="http://schemas.openxmlformats.org/officeDocument/2006/relationships/hyperlink" Target="http://www.ccrscenter.org/sites/default/files/CCRS%20District%20Practices%20Brief.pdf" TargetMode="External"/><Relationship Id="rId48" Type="http://schemas.openxmlformats.org/officeDocument/2006/relationships/hyperlink" Target="http://centeronschoolturnaround.org/wp-content/uploads/2014/01/The_State_Role_in_School_Turnaround.pdf" TargetMode="External"/><Relationship Id="rId56" Type="http://schemas.openxmlformats.org/officeDocument/2006/relationships/image" Target="media/image10.png"/><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educationresearchalliancenola.org/files/publications/Education-Research-Alliance-New-Orleans-Policy-Brief-Closure-Takeover.pdf" TargetMode="External"/><Relationship Id="rId3" Type="http://schemas.openxmlformats.org/officeDocument/2006/relationships/styles" Target="styles.xml"/><Relationship Id="rId12" Type="http://schemas.openxmlformats.org/officeDocument/2006/relationships/hyperlink" Target="http://www.ccsso.org/Resources/Publications/College_and_Career_Readiness_Standards_and_Research-Identified_Transition_Skills.html" TargetMode="External"/><Relationship Id="rId17" Type="http://schemas.openxmlformats.org/officeDocument/2006/relationships/hyperlink" Target="http://www.ccsso.org/Documents/2012/ELPD%20Framework%20Booklet-Final%20for%20web.pdf" TargetMode="External"/><Relationship Id="rId25" Type="http://schemas.openxmlformats.org/officeDocument/2006/relationships/hyperlink" Target="https://www.wested.org/online_pubs/ASDS-09-02.pdf" TargetMode="External"/><Relationship Id="rId33" Type="http://schemas.openxmlformats.org/officeDocument/2006/relationships/hyperlink" Target="http://web.stanford.edu/~hakuta/Courses/Ed205X%20Website/Resources/WIDA%20AMAO%20Guidance%20v3%200a.pdf" TargetMode="External"/><Relationship Id="rId38" Type="http://schemas.openxmlformats.org/officeDocument/2006/relationships/hyperlink" Target="http://www.ccrscenter.org/products-resources/ccrs-center-webinars-events/using-additional-indicator-under-essa-drive-college" TargetMode="External"/><Relationship Id="rId46" Type="http://schemas.openxmlformats.org/officeDocument/2006/relationships/hyperlink" Target="http://ies.ed.gov/ncee/wwc/FWW" TargetMode="External"/><Relationship Id="rId59"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6-7938-ESSA%20Accountability%20Tool%20Template%20CCRS%20Center\CCRS_Handout_Template_Portrait_030714.dotx" TargetMode="External"/></Relationships>
</file>

<file path=word/theme/theme1.xml><?xml version="1.0" encoding="utf-8"?>
<a:theme xmlns:a="http://schemas.openxmlformats.org/drawingml/2006/main" name="Office Theme">
  <a:themeElements>
    <a:clrScheme name="CCRS">
      <a:dk1>
        <a:srgbClr val="000000"/>
      </a:dk1>
      <a:lt1>
        <a:srgbClr val="FFFFFF"/>
      </a:lt1>
      <a:dk2>
        <a:srgbClr val="4E76A0"/>
      </a:dk2>
      <a:lt2>
        <a:srgbClr val="FFFFFF"/>
      </a:lt2>
      <a:accent1>
        <a:srgbClr val="346094"/>
      </a:accent1>
      <a:accent2>
        <a:srgbClr val="A74D15"/>
      </a:accent2>
      <a:accent3>
        <a:srgbClr val="73AF23"/>
      </a:accent3>
      <a:accent4>
        <a:srgbClr val="773C75"/>
      </a:accent4>
      <a:accent5>
        <a:srgbClr val="EFB219"/>
      </a:accent5>
      <a:accent6>
        <a:srgbClr val="128DC4"/>
      </a:accent6>
      <a:hlink>
        <a:srgbClr val="346094"/>
      </a:hlink>
      <a:folHlink>
        <a:srgbClr val="128DC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301B73E-235D-4D18-A6EB-F3A325F5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CCRS_Handout_Template_Portrait_030714</Template>
  <TotalTime>12</TotalTime>
  <Pages>16</Pages>
  <Words>6647</Words>
  <Characters>37889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English</dc:creator>
  <cp:lastModifiedBy>Kim O'Brien</cp:lastModifiedBy>
  <cp:revision>8</cp:revision>
  <cp:lastPrinted>2017-02-18T00:21:00Z</cp:lastPrinted>
  <dcterms:created xsi:type="dcterms:W3CDTF">2017-03-08T21:50:00Z</dcterms:created>
  <dcterms:modified xsi:type="dcterms:W3CDTF">2017-03-11T00:25:00Z</dcterms:modified>
</cp:coreProperties>
</file>